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LOGO SPACE — TOP LEFT</w:t>
      </w:r>
    </w:p>
    <w:p>
      <w:pPr>
        <w:jc w:val="center"/>
      </w:pPr>
      <w:r>
        <w:rPr>
          <w:b/>
          <w:color w:val="123E56"/>
          <w:sz w:val="30"/>
        </w:rPr>
        <w:t>ANTARAGANGE RURAL HOSPITAL AND RESEARCH INSTITUTE</w:t>
      </w:r>
    </w:p>
    <w:p>
      <w:pPr>
        <w:pStyle w:val="Title"/>
      </w:pPr>
      <w:r>
        <w:t>WOUND CARE &amp; DIABETIC FOOT CENTRE</w:t>
      </w:r>
    </w:p>
    <w:p>
      <w:r>
        <w:t>Standalone CSR Proposal | Rural Kolar, Karnataka</w:t>
      </w:r>
    </w:p>
    <w:p>
      <w:r>
        <w:t>“Protect mobility. Prevent avoidable wounds. Support recovery close to home.”</w:t>
      </w:r>
    </w:p>
    <w:tbl>
      <w:tblPr>
        <w:tblStyle w:val="TableGrid"/>
        <w:tblW w:type="auto" w:w="0"/>
        <w:tblLook w:firstColumn="1" w:firstRow="1" w:lastColumn="0" w:lastRow="0" w:noHBand="0" w:noVBand="1" w:val="04A0"/>
      </w:tblPr>
      <w:tblGrid>
        <w:gridCol w:w="9936"/>
      </w:tblGrid>
      <w:tr>
        <w:tc>
          <w:tcPr>
            <w:tcW w:type="dxa" w:w="9936"/>
          </w:tcPr>
          <w:p>
            <w:pPr>
              <w:jc w:val="center"/>
            </w:pPr>
            <w:r>
              <w:br/>
              <w:br/>
              <w:br/>
              <w:t>IMAGE SPACE — WOUND &amp; DIABETIC FOOT CENTRE</w:t>
              <w:br/>
              <w:br/>
              <w:br/>
            </w:r>
          </w:p>
        </w:tc>
      </w:tr>
    </w:tbl>
    <w:p/>
    <w:p>
      <w:pPr>
        <w:pStyle w:val="Heading1"/>
      </w:pPr>
      <w:r>
        <w:t>Project Funding Status — Budget to Be Finalised</w:t>
      </w:r>
    </w:p>
    <w:p>
      <w:r>
        <w:t>The hospital’s uploaded 12-page capital equipment estimate does not identify a dedicated Wound Care &amp; Diabetic Foot Centre or assign a rupee value to its equipment. This proposal therefore sets out a proposed service and procurement scope only. No amount has been added to the hospital’s source-defined ₹5,50,15,000 overall equipment estimate.</w:t>
      </w:r>
    </w:p>
    <w:p>
      <w:r>
        <w:t>The proposed centre would focus on structured foot-risk screening, wound assessment, pressure redistribution, patient education and coordination of appropriate medical, surgical and rehabilitation care. The aim is to reduce preventable complications and support mobility and independence for people with diabetes and chronic wounds.</w:t>
      </w:r>
    </w:p>
    <w:p>
      <w:r>
        <w:br w:type="page"/>
      </w:r>
    </w:p>
    <w:p>
      <w:pPr>
        <w:pStyle w:val="Heading1"/>
      </w:pPr>
      <w:r>
        <w:t>Why a Dedicated Centre Is Needed</w:t>
      </w:r>
    </w:p>
    <w:p>
      <w:r>
        <w:t>Diabetes-related foot complications may develop from a combination of reduced protective sensation, altered foot pressure, poor circulation, infection and delayed treatment. A coordinated outpatient service can identify risk earlier, improve wound follow-up and connect patients to higher-level care when needed.</w:t>
      </w:r>
    </w:p>
    <w:p>
      <w:pPr>
        <w:pStyle w:val="Heading2"/>
      </w:pPr>
      <w:r>
        <w:t>Early detection</w:t>
      </w:r>
    </w:p>
    <w:p>
      <w:r>
        <w:t>Regular foot examination, sensory screening and vascular assessment help identify people who require preventive advice or further evaluation.</w:t>
      </w:r>
    </w:p>
    <w:p>
      <w:pPr>
        <w:pStyle w:val="Heading2"/>
      </w:pPr>
      <w:r>
        <w:t>Structured wound management</w:t>
      </w:r>
    </w:p>
    <w:p>
      <w:r>
        <w:t>Consistent wound measurement, documentation, appropriate dressings and follow-up support continuity of care.</w:t>
      </w:r>
    </w:p>
    <w:p>
      <w:pPr>
        <w:pStyle w:val="Heading2"/>
      </w:pPr>
      <w:r>
        <w:t>Offloading and footwear</w:t>
      </w:r>
    </w:p>
    <w:p>
      <w:r>
        <w:t>Pressure redistribution and suitable protective footwear can be important components of care for selected patients.</w:t>
      </w:r>
    </w:p>
    <w:p>
      <w:pPr>
        <w:pStyle w:val="Heading2"/>
      </w:pPr>
      <w:r>
        <w:t>Referral pathways</w:t>
      </w:r>
    </w:p>
    <w:p>
      <w:r>
        <w:t>Urgent infection, suspected critical limb ischaemia, deep tissue involvement or systemic illness require timely escalation to appropriate specialists and emergency services.</w:t>
      </w:r>
    </w:p>
    <w:p>
      <w:pPr>
        <w:pStyle w:val="Heading2"/>
      </w:pPr>
      <w:r>
        <w:t>Rehabilitation and education</w:t>
      </w:r>
    </w:p>
    <w:p>
      <w:r>
        <w:t>Foot-care education, gait support and rehabilitation can help patients maintain safer mobility and self-care.</w:t>
      </w:r>
    </w:p>
    <w:p>
      <w:r>
        <w:t>Clinical decisions, including debridement, antibiotics, vascular intervention and offloading devices, must be made by appropriately qualified professionals based on individual assessment.</w:t>
      </w:r>
    </w:p>
    <w:p>
      <w:r>
        <w:br w:type="page"/>
      </w:r>
    </w:p>
    <w:p>
      <w:pPr>
        <w:pStyle w:val="Heading1"/>
      </w:pPr>
      <w:r>
        <w:t>Proposed Equipment and Functional Scope</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23E56"/>
          </w:tcPr>
          <w:p>
            <w:r>
              <w:rPr>
                <w:b/>
                <w:color w:val="FFFFFF"/>
              </w:rPr>
              <w:t>Proposed component</w:t>
            </w:r>
          </w:p>
        </w:tc>
        <w:tc>
          <w:tcPr>
            <w:tcW w:type="dxa" w:w="3312"/>
            <w:shd w:fill="123E56"/>
          </w:tcPr>
          <w:p>
            <w:r>
              <w:rPr>
                <w:b/>
                <w:color w:val="FFFFFF"/>
              </w:rPr>
              <w:t>Purpose</w:t>
            </w:r>
          </w:p>
        </w:tc>
        <w:tc>
          <w:tcPr>
            <w:tcW w:type="dxa" w:w="3312"/>
            <w:shd w:fill="123E56"/>
          </w:tcPr>
          <w:p>
            <w:r>
              <w:rPr>
                <w:b/>
                <w:color w:val="FFFFFF"/>
              </w:rPr>
              <w:t>Budget treatment</w:t>
            </w:r>
          </w:p>
        </w:tc>
      </w:tr>
      <w:tr>
        <w:tc>
          <w:tcPr>
            <w:tcW w:type="dxa" w:w="3312"/>
          </w:tcPr>
          <w:p>
            <w:r>
              <w:t>Foot examination couch / clinical workstation</w:t>
            </w:r>
          </w:p>
        </w:tc>
        <w:tc>
          <w:tcPr>
            <w:tcW w:type="dxa" w:w="3312"/>
          </w:tcPr>
          <w:p>
            <w:r>
              <w:t>Assessment, dressings and follow-up</w:t>
            </w:r>
          </w:p>
        </w:tc>
        <w:tc>
          <w:tcPr>
            <w:tcW w:type="dxa" w:w="3312"/>
          </w:tcPr>
          <w:p>
            <w:r>
              <w:t>Quotation required</w:t>
            </w:r>
          </w:p>
        </w:tc>
      </w:tr>
      <w:tr>
        <w:tc>
          <w:tcPr>
            <w:tcW w:type="dxa" w:w="3312"/>
          </w:tcPr>
          <w:p>
            <w:r>
              <w:t>10 g monofilaments and sensory screening tools</w:t>
            </w:r>
          </w:p>
        </w:tc>
        <w:tc>
          <w:tcPr>
            <w:tcW w:type="dxa" w:w="3312"/>
          </w:tcPr>
          <w:p>
            <w:r>
              <w:t>Screening for loss of protective sensation</w:t>
            </w:r>
          </w:p>
        </w:tc>
        <w:tc>
          <w:tcPr>
            <w:tcW w:type="dxa" w:w="3312"/>
          </w:tcPr>
          <w:p>
            <w:r>
              <w:t>Quotation required</w:t>
            </w:r>
          </w:p>
        </w:tc>
      </w:tr>
      <w:tr>
        <w:tc>
          <w:tcPr>
            <w:tcW w:type="dxa" w:w="3312"/>
          </w:tcPr>
          <w:p>
            <w:r>
              <w:t>Handheld vascular Doppler and related accessories</w:t>
            </w:r>
          </w:p>
        </w:tc>
        <w:tc>
          <w:tcPr>
            <w:tcW w:type="dxa" w:w="3312"/>
          </w:tcPr>
          <w:p>
            <w:r>
              <w:t>Peripheral circulation assessment; referral triage</w:t>
            </w:r>
          </w:p>
        </w:tc>
        <w:tc>
          <w:tcPr>
            <w:tcW w:type="dxa" w:w="3312"/>
          </w:tcPr>
          <w:p>
            <w:r>
              <w:t>Quotation required</w:t>
            </w:r>
          </w:p>
        </w:tc>
      </w:tr>
      <w:tr>
        <w:tc>
          <w:tcPr>
            <w:tcW w:type="dxa" w:w="3312"/>
          </w:tcPr>
          <w:p>
            <w:r>
              <w:t>Wound measurement / documentation tools</w:t>
            </w:r>
          </w:p>
        </w:tc>
        <w:tc>
          <w:tcPr>
            <w:tcW w:type="dxa" w:w="3312"/>
          </w:tcPr>
          <w:p>
            <w:r>
              <w:t>Record wound size, appearance and progress</w:t>
            </w:r>
          </w:p>
        </w:tc>
        <w:tc>
          <w:tcPr>
            <w:tcW w:type="dxa" w:w="3312"/>
          </w:tcPr>
          <w:p>
            <w:r>
              <w:t>Quotation required</w:t>
            </w:r>
          </w:p>
        </w:tc>
      </w:tr>
      <w:tr>
        <w:tc>
          <w:tcPr>
            <w:tcW w:type="dxa" w:w="3312"/>
          </w:tcPr>
          <w:p>
            <w:r>
              <w:t>Dressing trolley and wound-care instruments</w:t>
            </w:r>
          </w:p>
        </w:tc>
        <w:tc>
          <w:tcPr>
            <w:tcW w:type="dxa" w:w="3312"/>
          </w:tcPr>
          <w:p>
            <w:r>
              <w:t>Organised and hygienic dressing procedures</w:t>
            </w:r>
          </w:p>
        </w:tc>
        <w:tc>
          <w:tcPr>
            <w:tcW w:type="dxa" w:w="3312"/>
          </w:tcPr>
          <w:p>
            <w:r>
              <w:t>Quotation required</w:t>
            </w:r>
          </w:p>
        </w:tc>
      </w:tr>
      <w:tr>
        <w:tc>
          <w:tcPr>
            <w:tcW w:type="dxa" w:w="3312"/>
          </w:tcPr>
          <w:p>
            <w:r>
              <w:t>Plantar pressure-assessment system</w:t>
            </w:r>
          </w:p>
        </w:tc>
        <w:tc>
          <w:tcPr>
            <w:tcW w:type="dxa" w:w="3312"/>
          </w:tcPr>
          <w:p>
            <w:r>
              <w:t>Identify high-pressure areas where clinically useful</w:t>
            </w:r>
          </w:p>
        </w:tc>
        <w:tc>
          <w:tcPr>
            <w:tcW w:type="dxa" w:w="3312"/>
          </w:tcPr>
          <w:p>
            <w:r>
              <w:t>Quotation required</w:t>
            </w:r>
          </w:p>
        </w:tc>
      </w:tr>
      <w:tr>
        <w:tc>
          <w:tcPr>
            <w:tcW w:type="dxa" w:w="3312"/>
          </w:tcPr>
          <w:p>
            <w:r>
              <w:t>Offloading and protective footwear support</w:t>
            </w:r>
          </w:p>
        </w:tc>
        <w:tc>
          <w:tcPr>
            <w:tcW w:type="dxa" w:w="3312"/>
          </w:tcPr>
          <w:p>
            <w:r>
              <w:t>Pressure redistribution and prevention support</w:t>
            </w:r>
          </w:p>
        </w:tc>
        <w:tc>
          <w:tcPr>
            <w:tcW w:type="dxa" w:w="3312"/>
          </w:tcPr>
          <w:p>
            <w:r>
              <w:t>Quotation required</w:t>
            </w:r>
          </w:p>
        </w:tc>
      </w:tr>
      <w:tr>
        <w:tc>
          <w:tcPr>
            <w:tcW w:type="dxa" w:w="3312"/>
          </w:tcPr>
          <w:p>
            <w:r>
              <w:t>Patient education and follow-up tools</w:t>
            </w:r>
          </w:p>
        </w:tc>
        <w:tc>
          <w:tcPr>
            <w:tcW w:type="dxa" w:w="3312"/>
          </w:tcPr>
          <w:p>
            <w:r>
              <w:t>Foot-care counselling, tracking and reminders</w:t>
            </w:r>
          </w:p>
        </w:tc>
        <w:tc>
          <w:tcPr>
            <w:tcW w:type="dxa" w:w="3312"/>
          </w:tcPr>
          <w:p>
            <w:r>
              <w:t>Quotation required</w:t>
            </w:r>
          </w:p>
        </w:tc>
      </w:tr>
    </w:tbl>
    <w:p>
      <w:r>
        <w:t>This list is a proposed clinical scope, not an itemised inventory or budget from the uploaded estimate. Quantities and technical specifications must be approved after clinical planning and supplier quotations.</w:t>
      </w:r>
    </w:p>
    <w:p>
      <w:r>
        <w:br w:type="page"/>
      </w:r>
    </w:p>
    <w:p>
      <w:pPr>
        <w:pStyle w:val="Heading1"/>
      </w:pPr>
      <w:r>
        <w:t>N-Stride Product Integration — Reserved</w:t>
      </w:r>
    </w:p>
    <w:p>
      <w:r>
        <w:t>This section is reserved for the N-Stride footwear, offloading and related diabetic-foot product photographs and verified product specifications that will be provided later. No product-specific claims, prices or quantities are being assumed at this stage.</w:t>
      </w:r>
    </w:p>
    <w:tbl>
      <w:tblPr>
        <w:tblStyle w:val="TableGrid"/>
        <w:tblW w:type="auto" w:w="0"/>
        <w:tblLook w:firstColumn="1" w:firstRow="1" w:lastColumn="0" w:lastRow="0" w:noHBand="0" w:noVBand="1" w:val="04A0"/>
      </w:tblPr>
      <w:tblGrid>
        <w:gridCol w:w="9936"/>
      </w:tblGrid>
      <w:tr>
        <w:tc>
          <w:tcPr>
            <w:tcW w:type="dxa" w:w="9936"/>
          </w:tcPr>
          <w:p>
            <w:pPr>
              <w:jc w:val="center"/>
            </w:pPr>
            <w:r>
              <w:br/>
              <w:br/>
              <w:br/>
              <w:t>N-STRIDE PRODUCT PHOTO 01 — RESERVED</w:t>
              <w:br/>
              <w:br/>
              <w:br/>
            </w:r>
          </w:p>
        </w:tc>
      </w:tr>
    </w:tbl>
    <w:p/>
    <w:tbl>
      <w:tblPr>
        <w:tblStyle w:val="TableGrid"/>
        <w:tblW w:type="auto" w:w="0"/>
        <w:tblLook w:firstColumn="1" w:firstRow="1" w:lastColumn="0" w:lastRow="0" w:noHBand="0" w:noVBand="1" w:val="04A0"/>
      </w:tblPr>
      <w:tblGrid>
        <w:gridCol w:w="9936"/>
      </w:tblGrid>
      <w:tr>
        <w:tc>
          <w:tcPr>
            <w:tcW w:type="dxa" w:w="9936"/>
          </w:tcPr>
          <w:p>
            <w:pPr>
              <w:jc w:val="center"/>
            </w:pPr>
            <w:r>
              <w:br/>
              <w:br/>
              <w:br/>
              <w:t>N-STRIDE PRODUCT PHOTO 02 — RESERVED</w:t>
              <w:br/>
              <w:br/>
              <w:br/>
            </w:r>
          </w:p>
        </w:tc>
      </w:tr>
    </w:tbl>
    <w:p/>
    <w:p>
      <w:r>
        <w:t>When the product material is supplied, this section can include product category, clinical indication, sizing / fitting workflow, patient selection, replacement needs and a quotation-backed cost schedule.</w:t>
      </w:r>
    </w:p>
    <w:p>
      <w:r>
        <w:br w:type="page"/>
      </w:r>
    </w:p>
    <w:p>
      <w:pPr>
        <w:pStyle w:val="Heading1"/>
      </w:pPr>
      <w:r>
        <w:t>Implementation Plan and Safeguards</w:t>
      </w:r>
    </w:p>
    <w:p>
      <w:pPr>
        <w:pStyle w:val="Heading2"/>
      </w:pPr>
      <w:r>
        <w:t>1. Clinical service design</w:t>
      </w:r>
    </w:p>
    <w:p>
      <w:r>
        <w:t>Confirm whether the centre will operate as an outpatient clinic, wound procedure room, footwear service or combined unit; define staffing and escalation protocols.</w:t>
      </w:r>
    </w:p>
    <w:p>
      <w:pPr>
        <w:pStyle w:val="Heading2"/>
      </w:pPr>
      <w:r>
        <w:t>2. Room and infection-prevention planning</w:t>
      </w:r>
    </w:p>
    <w:p>
      <w:r>
        <w:t>Identify examination, dressing, clean storage, waste segregation and accessible patient circulation requirements.</w:t>
      </w:r>
    </w:p>
    <w:p>
      <w:pPr>
        <w:pStyle w:val="Heading2"/>
      </w:pPr>
      <w:r>
        <w:t>3. Technical specifications and BOQ</w:t>
      </w:r>
    </w:p>
    <w:p>
      <w:r>
        <w:t>Approve quantities, quality requirements and equipment compatibility before seeking supplier bids.</w:t>
      </w:r>
    </w:p>
    <w:p>
      <w:pPr>
        <w:pStyle w:val="Heading2"/>
      </w:pPr>
      <w:r>
        <w:t>4. Procurement and installation</w:t>
      </w:r>
    </w:p>
    <w:p>
      <w:r>
        <w:t>Obtain comparable quotations, document inclusions/exclusions, inspect deliveries and record assets.</w:t>
      </w:r>
    </w:p>
    <w:p>
      <w:pPr>
        <w:pStyle w:val="Heading2"/>
      </w:pPr>
      <w:r>
        <w:t>5. Staff training and referral network</w:t>
      </w:r>
    </w:p>
    <w:p>
      <w:r>
        <w:t>Train the care team in foot-risk assessment, documentation, dressing protocols and urgent referral criteria.</w:t>
      </w:r>
    </w:p>
    <w:p>
      <w:pPr>
        <w:pStyle w:val="Heading2"/>
      </w:pPr>
      <w:r>
        <w:t>6. Monitoring</w:t>
      </w:r>
    </w:p>
    <w:p>
      <w:r>
        <w:t>Track screenings, wounds managed, follow-up attendance, referrals and service utilisation.</w:t>
      </w:r>
    </w:p>
    <w:p>
      <w:pPr>
        <w:pStyle w:val="Heading1"/>
      </w:pPr>
      <w:r>
        <w:t>Funding and Budget Reconciliation</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23E56"/>
          </w:tcPr>
          <w:p>
            <w:r>
              <w:rPr>
                <w:b/>
                <w:color w:val="FFFFFF"/>
              </w:rPr>
              <w:t>Budget element</w:t>
            </w:r>
          </w:p>
        </w:tc>
        <w:tc>
          <w:tcPr>
            <w:tcW w:type="dxa" w:w="3312"/>
            <w:shd w:fill="123E56"/>
          </w:tcPr>
          <w:p>
            <w:r>
              <w:rPr>
                <w:b/>
                <w:color w:val="FFFFFF"/>
              </w:rPr>
              <w:t>Amount</w:t>
            </w:r>
          </w:p>
        </w:tc>
        <w:tc>
          <w:tcPr>
            <w:tcW w:type="dxa" w:w="3312"/>
            <w:shd w:fill="123E56"/>
          </w:tcPr>
          <w:p>
            <w:r>
              <w:rPr>
                <w:b/>
                <w:color w:val="FFFFFF"/>
              </w:rPr>
              <w:t>Source status</w:t>
            </w:r>
          </w:p>
        </w:tc>
      </w:tr>
      <w:tr>
        <w:tc>
          <w:tcPr>
            <w:tcW w:type="dxa" w:w="3312"/>
          </w:tcPr>
          <w:p>
            <w:r>
              <w:t>Original hospital equipment estimate</w:t>
            </w:r>
          </w:p>
        </w:tc>
        <w:tc>
          <w:tcPr>
            <w:tcW w:type="dxa" w:w="3312"/>
          </w:tcPr>
          <w:p>
            <w:r>
              <w:t>₹5,50,15,000</w:t>
            </w:r>
          </w:p>
        </w:tc>
        <w:tc>
          <w:tcPr>
            <w:tcW w:type="dxa" w:w="3312"/>
          </w:tcPr>
          <w:p>
            <w:r>
              <w:t>Uploaded 12-page PDF summary</w:t>
            </w:r>
          </w:p>
        </w:tc>
      </w:tr>
      <w:tr>
        <w:tc>
          <w:tcPr>
            <w:tcW w:type="dxa" w:w="3312"/>
          </w:tcPr>
          <w:p>
            <w:r>
              <w:t>Dedicated wound / diabetic-foot allocation</w:t>
            </w:r>
          </w:p>
        </w:tc>
        <w:tc>
          <w:tcPr>
            <w:tcW w:type="dxa" w:w="3312"/>
          </w:tcPr>
          <w:p>
            <w:r>
              <w:t>Not stated</w:t>
            </w:r>
          </w:p>
        </w:tc>
        <w:tc>
          <w:tcPr>
            <w:tcW w:type="dxa" w:w="3312"/>
          </w:tcPr>
          <w:p>
            <w:r>
              <w:t>No separate allocation in uploaded PDF</w:t>
            </w:r>
          </w:p>
        </w:tc>
      </w:tr>
      <w:tr>
        <w:tc>
          <w:tcPr>
            <w:tcW w:type="dxa" w:w="3312"/>
          </w:tcPr>
          <w:p>
            <w:r>
              <w:t>Proposed wound-care equipment package</w:t>
            </w:r>
          </w:p>
        </w:tc>
        <w:tc>
          <w:tcPr>
            <w:tcW w:type="dxa" w:w="3312"/>
          </w:tcPr>
          <w:p>
            <w:r>
              <w:t>To be quoted</w:t>
            </w:r>
          </w:p>
        </w:tc>
        <w:tc>
          <w:tcPr>
            <w:tcW w:type="dxa" w:w="3312"/>
          </w:tcPr>
          <w:p>
            <w:r>
              <w:t>New scope, not included in verified source budget</w:t>
            </w:r>
          </w:p>
        </w:tc>
      </w:tr>
      <w:tr>
        <w:tc>
          <w:tcPr>
            <w:tcW w:type="dxa" w:w="3312"/>
          </w:tcPr>
          <w:p>
            <w:r>
              <w:t>N-Stride products</w:t>
            </w:r>
          </w:p>
        </w:tc>
        <w:tc>
          <w:tcPr>
            <w:tcW w:type="dxa" w:w="3312"/>
          </w:tcPr>
          <w:p>
            <w:r>
              <w:t>To be quoted</w:t>
            </w:r>
          </w:p>
        </w:tc>
        <w:tc>
          <w:tcPr>
            <w:tcW w:type="dxa" w:w="3312"/>
          </w:tcPr>
          <w:p>
            <w:r>
              <w:t>Pending product list and prices</w:t>
            </w:r>
          </w:p>
        </w:tc>
      </w:tr>
    </w:tbl>
    <w:p>
      <w:r>
        <w:t>The centre must not be presented to donors as already costed under the original equipment estimate. Once quotations are obtained, any proposed addition should be disclosed separately and the revised combined funding requirement recalculated.</w:t>
      </w:r>
    </w:p>
    <w:p>
      <w:r>
        <w:br w:type="page"/>
      </w:r>
    </w:p>
    <w:p>
      <w:pPr>
        <w:pStyle w:val="Heading1"/>
      </w:pPr>
      <w:r>
        <w:t>CSR Partnership and Measurable Outcomes</w:t>
      </w:r>
    </w:p>
    <w:p>
      <w:r>
        <w:t>Potential CSR support may include full clinic sponsorship, foot-screening equipment, wound-care workstations, pressure-assessment technology, footwear / offloading programmes or training and patient education. Each sponsorship value will be defined only after an approved bill of quantities and supplier quotation.</w:t>
      </w:r>
    </w:p>
    <w:tbl>
      <w:tblPr>
        <w:tblStyle w:val="TableGrid"/>
        <w:tblW w:type="auto" w:w="0"/>
        <w:jc w:val="center"/>
        <w:tblLook w:firstColumn="1" w:firstRow="1" w:lastColumn="0" w:lastRow="0" w:noHBand="0" w:noVBand="1" w:val="04A0"/>
      </w:tblPr>
      <w:tblGrid>
        <w:gridCol w:w="4968"/>
        <w:gridCol w:w="4968"/>
      </w:tblGrid>
      <w:tr>
        <w:tc>
          <w:tcPr>
            <w:tcW w:type="dxa" w:w="4968"/>
            <w:shd w:fill="123E56"/>
          </w:tcPr>
          <w:p>
            <w:r>
              <w:rPr>
                <w:b/>
                <w:color w:val="FFFFFF"/>
              </w:rPr>
              <w:t>Outcome area</w:t>
            </w:r>
          </w:p>
        </w:tc>
        <w:tc>
          <w:tcPr>
            <w:tcW w:type="dxa" w:w="4968"/>
            <w:shd w:fill="123E56"/>
          </w:tcPr>
          <w:p>
            <w:r>
              <w:rPr>
                <w:b/>
                <w:color w:val="FFFFFF"/>
              </w:rPr>
              <w:t>Possible indicator</w:t>
            </w:r>
          </w:p>
        </w:tc>
      </w:tr>
      <w:tr>
        <w:tc>
          <w:tcPr>
            <w:tcW w:type="dxa" w:w="4968"/>
          </w:tcPr>
          <w:p>
            <w:r>
              <w:t>Prevention</w:t>
            </w:r>
          </w:p>
        </w:tc>
        <w:tc>
          <w:tcPr>
            <w:tcW w:type="dxa" w:w="4968"/>
          </w:tcPr>
          <w:p>
            <w:r>
              <w:t>Number of patients receiving structured diabetic-foot screening</w:t>
            </w:r>
          </w:p>
        </w:tc>
      </w:tr>
      <w:tr>
        <w:tc>
          <w:tcPr>
            <w:tcW w:type="dxa" w:w="4968"/>
          </w:tcPr>
          <w:p>
            <w:r>
              <w:t>Care access</w:t>
            </w:r>
          </w:p>
        </w:tc>
        <w:tc>
          <w:tcPr>
            <w:tcW w:type="dxa" w:w="4968"/>
          </w:tcPr>
          <w:p>
            <w:r>
              <w:t>Number of rural patients assessed locally</w:t>
            </w:r>
          </w:p>
        </w:tc>
      </w:tr>
      <w:tr>
        <w:tc>
          <w:tcPr>
            <w:tcW w:type="dxa" w:w="4968"/>
          </w:tcPr>
          <w:p>
            <w:r>
              <w:t>Continuity</w:t>
            </w:r>
          </w:p>
        </w:tc>
        <w:tc>
          <w:tcPr>
            <w:tcW w:type="dxa" w:w="4968"/>
          </w:tcPr>
          <w:p>
            <w:r>
              <w:t>Follow-up attendance and documented wound reviews</w:t>
            </w:r>
          </w:p>
        </w:tc>
      </w:tr>
      <w:tr>
        <w:tc>
          <w:tcPr>
            <w:tcW w:type="dxa" w:w="4968"/>
          </w:tcPr>
          <w:p>
            <w:r>
              <w:t>Referral quality</w:t>
            </w:r>
          </w:p>
        </w:tc>
        <w:tc>
          <w:tcPr>
            <w:tcW w:type="dxa" w:w="4968"/>
          </w:tcPr>
          <w:p>
            <w:r>
              <w:t>Appropriate urgent vascular / surgical referrals</w:t>
            </w:r>
          </w:p>
        </w:tc>
      </w:tr>
      <w:tr>
        <w:tc>
          <w:tcPr>
            <w:tcW w:type="dxa" w:w="4968"/>
          </w:tcPr>
          <w:p>
            <w:r>
              <w:t>Education</w:t>
            </w:r>
          </w:p>
        </w:tc>
        <w:tc>
          <w:tcPr>
            <w:tcW w:type="dxa" w:w="4968"/>
          </w:tcPr>
          <w:p>
            <w:r>
              <w:t>Patients and caregivers trained in preventive foot care</w:t>
            </w:r>
          </w:p>
        </w:tc>
      </w:tr>
      <w:tr>
        <w:tc>
          <w:tcPr>
            <w:tcW w:type="dxa" w:w="4968"/>
          </w:tcPr>
          <w:p>
            <w:r>
              <w:t>Asset use</w:t>
            </w:r>
          </w:p>
        </w:tc>
        <w:tc>
          <w:tcPr>
            <w:tcW w:type="dxa" w:w="4968"/>
          </w:tcPr>
          <w:p>
            <w:r>
              <w:t>Equipment uptime and documented utilisation</w:t>
            </w:r>
          </w:p>
        </w:tc>
      </w:tr>
    </w:tbl>
    <w:p>
      <w:pPr>
        <w:pStyle w:val="Heading1"/>
      </w:pPr>
      <w:r>
        <w:t>Sponsor Recognition and Accountability</w:t>
      </w:r>
    </w:p>
    <w:p>
      <w:r>
        <w:t>Recognition may include an approved donor acknowledgement, equipment asset tagging, procurement documentation and periodic impact reporting. Patient photographs or stories must only be used with informed consent and suitable privacy protections.</w:t>
      </w:r>
    </w:p>
    <w:p>
      <w:r>
        <w:t>“A timely foot assessment can protect far more than a foot — it can protect a person’s independence.”</w:t>
      </w:r>
    </w:p>
    <w:p>
      <w:pPr>
        <w:pStyle w:val="Heading1"/>
      </w:pPr>
      <w:r>
        <w:t>Source and Scope Note</w:t>
      </w:r>
    </w:p>
    <w:p>
      <w:r>
        <w:t>Financial reference: the newly uploaded 12-page “CSR Proposal — Anthargange Rural Hospital &amp; Research Center” (pages 3–11), which lists the hospital’s department allocations but no dedicated diabetic-foot project. The institution name in this document follows the user’s requested form: Antaragange Rural Hospital and Research Institute. Clinical scope and procurement guidance are proposed additions, clearly separate from source-derived amounts.</w:t>
      </w:r>
    </w:p>
    <w:sectPr w:rsidR="00FC693F" w:rsidRPr="0006063C" w:rsidSect="00034616">
      <w:footerReference w:type="default" r:id="rId9"/>
      <w:pgSz w:w="12240" w:h="15840"/>
      <w:pgMar w:top="1037" w:right="1152" w:bottom="95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Wound &amp; Diabetic Foot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E5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87D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E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