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jc w:val="center"/>
      </w:pPr>
      <w:r>
        <w:rPr>
          <w:rFonts w:ascii="Aptos Display" w:hAnsi="Aptos Display"/>
          <w:b/>
          <w:color w:val="123E56"/>
          <w:sz w:val="50"/>
        </w:rPr>
        <w:t>OPERATION THEATRE EQUIPMENT</w:t>
      </w:r>
    </w:p>
    <w:p>
      <w:pPr>
        <w:jc w:val="center"/>
      </w:pPr>
      <w:r>
        <w:rPr>
          <w:color w:val="6C757A"/>
          <w:sz w:val="23"/>
        </w:rPr>
        <w:t>A standalone CSR proposal for safe surgery, anaesthesia, image guidance and sterilisation</w:t>
      </w:r>
    </w:p>
    <w:p>
      <w:pPr>
        <w:spacing w:after="140"/>
        <w:pBdr>
          <w:bottom w:val="single" w:sz="12" w:space="1" w:color="2F7F7A"/>
        </w:pBdr>
      </w:pPr>
    </w:p>
    <w:p>
      <w:pPr>
        <w:jc w:val="center"/>
      </w:pPr>
      <w:r>
        <w:drawing>
          <wp:inline xmlns:a="http://schemas.openxmlformats.org/drawingml/2006/main" xmlns:pic="http://schemas.openxmlformats.org/drawingml/2006/picture">
            <wp:extent cx="4248000" cy="2313951"/>
            <wp:docPr id="1" name="Picture 1"/>
            <wp:cNvGraphicFramePr>
              <a:graphicFrameLocks noChangeAspect="1"/>
            </wp:cNvGraphicFramePr>
            <a:graphic>
              <a:graphicData uri="http://schemas.openxmlformats.org/drawingml/2006/picture">
                <pic:pic>
                  <pic:nvPicPr>
                    <pic:cNvPr id="0" name="IMG_0074.jpeg"/>
                    <pic:cNvPicPr/>
                  </pic:nvPicPr>
                  <pic:blipFill>
                    <a:blip r:embed="rId10"/>
                    <a:stretch>
                      <a:fillRect/>
                    </a:stretch>
                  </pic:blipFill>
                  <pic:spPr>
                    <a:xfrm>
                      <a:off x="0" y="0"/>
                      <a:ext cx="4248000" cy="2313951"/>
                    </a:xfrm>
                    <a:prstGeom prst="rect"/>
                  </pic:spPr>
                </pic:pic>
              </a:graphicData>
            </a:graphic>
          </wp:inline>
        </w:drawing>
      </w:r>
    </w:p>
    <w:p>
      <w:pPr>
        <w:jc w:val="center"/>
      </w:pPr>
      <w:r>
        <w:rPr>
          <w:i/>
          <w:color w:val="6C757A"/>
          <w:sz w:val="16"/>
        </w:rPr>
        <w:t>Illustrative modern operation theatre environment</w:t>
      </w:r>
    </w:p>
    <w:tbl>
      <w:tblPr>
        <w:tblW w:type="auto" w:w="0"/>
        <w:jc w:val="center"/>
        <w:tblLayout w:type="fixed"/>
        <w:tblLook w:firstColumn="1" w:firstRow="1" w:lastColumn="0" w:lastRow="0" w:noHBand="0" w:noVBand="1" w:val="04A0"/>
      </w:tblPr>
      <w:tblGrid>
        <w:gridCol w:w="7087"/>
        <w:gridCol w:w="2381"/>
      </w:tblGrid>
      <w:tr>
        <w:tc>
          <w:tcPr>
            <w:tcW w:type="dxa" w:w="5270"/>
            <w:shd w:fill="123E56"/>
            <w:tcMar>
              <w:top w:w="120" w:type="dxa"/>
              <w:start w:w="140" w:type="dxa"/>
              <w:bottom w:w="120" w:type="dxa"/>
              <w:end w:w="140" w:type="dxa"/>
            </w:tcMar>
          </w:tcPr>
          <w:p>
            <w:r>
              <w:rPr>
                <w:b/>
                <w:color w:val="FFFFFF"/>
                <w:sz w:val="21"/>
              </w:rPr>
              <w:t>Operation Theatre Equipment – Core Capital Requirement</w:t>
            </w:r>
          </w:p>
          <w:p>
            <w:pPr>
              <w:spacing w:before="0"/>
            </w:pPr>
            <w:r>
              <w:rPr>
                <w:color w:val="D8E6EA"/>
                <w:sz w:val="16"/>
              </w:rPr>
              <w:t>Source-derived amount from the current hospital equipment estimate</w:t>
            </w:r>
          </w:p>
        </w:tc>
        <w:tc>
          <w:tcPr>
            <w:tcW w:type="dxa" w:w="5270"/>
            <w:shd w:fill="2F7F7A"/>
            <w:tcMar>
              <w:top w:w="120" w:type="dxa"/>
              <w:start w:w="140" w:type="dxa"/>
              <w:bottom w:w="120" w:type="dxa"/>
              <w:end w:w="140" w:type="dxa"/>
            </w:tcMar>
          </w:tcPr>
          <w:p>
            <w:pPr>
              <w:jc w:val="right"/>
            </w:pPr>
            <w:r>
              <w:rPr>
                <w:b/>
                <w:color w:val="FFFFFF"/>
                <w:sz w:val="28"/>
              </w:rPr>
              <w:t>₹86,80,000</w:t>
            </w:r>
          </w:p>
        </w:tc>
      </w:tr>
    </w:tbl>
    <w:p/>
    <w:tbl>
      <w:tblPr>
        <w:tblW w:type="auto" w:w="0"/>
        <w:jc w:val="center"/>
        <w:tblLook w:firstColumn="1" w:firstRow="1" w:lastColumn="0" w:lastRow="0" w:noHBand="0" w:noVBand="1" w:val="04A0"/>
      </w:tblPr>
      <w:tblGrid>
        <w:gridCol w:w="10540"/>
      </w:tblGrid>
      <w:tr>
        <w:tc>
          <w:tcPr>
            <w:tcW w:type="dxa" w:w="10540"/>
            <w:shd w:fill="EAF4F3"/>
            <w:tcMar>
              <w:top w:w="115" w:type="dxa"/>
              <w:start w:w="160" w:type="dxa"/>
              <w:bottom w:w="115" w:type="dxa"/>
              <w:end w:w="160" w:type="dxa"/>
            </w:tcMar>
          </w:tcPr>
          <w:p>
            <w:pPr>
              <w:jc w:val="center"/>
            </w:pPr>
            <w:r>
              <w:rPr>
                <w:b/>
                <w:i/>
                <w:color w:val="123E56"/>
                <w:sz w:val="24"/>
              </w:rPr>
              <w:t>“Equip a safe operating theatre. Enable essential surgery closer to home.”</w:t>
            </w:r>
          </w:p>
        </w:tc>
      </w:tr>
    </w:tbl>
    <w:p/>
    <w:p>
      <w:pPr>
        <w:pStyle w:val="Heading2"/>
      </w:pPr>
      <w:r>
        <w:t>Project Overview</w:t>
      </w:r>
    </w:p>
    <w:p>
      <w:r>
        <w:t>The proposed Operation Theatre at Antaragange Rural Hospital and Research Institute is intended to create a safe, dependable surgical platform for rural patients who would otherwise need to travel to larger urban centres for essential procedures. The planned equipment package brings together anaesthesia, patient positioning, surgical illumination, intra-operative monitoring, electrosurgery, suction, minimally invasive instruments, real-time imaging, surgical instrument sets and sterilisation.</w:t>
      </w:r>
    </w:p>
    <w:p>
      <w:r>
        <w:t>This document covers only the Operation Theatre equipment requirement. ICU, OPD, inpatient wards, Emergency &amp; Casualty, diagnostics and other departments are being presented separately so that each CSR opportunity can be evaluated and sponsored independently.</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THE CLINICAL NEED</w:t>
      </w:r>
    </w:p>
    <w:p>
      <w:pPr>
        <w:spacing w:after="140"/>
        <w:pBdr>
          <w:bottom w:val="single" w:sz="12" w:space="1" w:color="2F7F7A"/>
        </w:pBdr>
      </w:pPr>
    </w:p>
    <w:p>
      <w:r>
        <w:t>A hospital cannot provide complete secondary care unless it can safely perform indicated surgical procedures. In rural settings, the absence of an equipped OT often converts treatable conditions into referrals, delays and additional cost for families.</w:t>
      </w:r>
    </w:p>
    <w:p>
      <w:pPr>
        <w:ind w:left="227" w:hanging="113"/>
      </w:pPr>
      <w:r>
        <w:rPr>
          <w:b/>
          <w:color w:val="2F7F7A"/>
        </w:rPr>
        <w:t xml:space="preserve">• </w:t>
      </w:r>
      <w:r>
        <w:t>Trauma and fractures may require timely orthopaedic intervention.</w:t>
      </w:r>
    </w:p>
    <w:p>
      <w:pPr>
        <w:ind w:left="227" w:hanging="113"/>
      </w:pPr>
      <w:r>
        <w:rPr>
          <w:b/>
          <w:color w:val="2F7F7A"/>
        </w:rPr>
        <w:t xml:space="preserve">• </w:t>
      </w:r>
      <w:r>
        <w:t>General surgical conditions may need planned or emergency procedures.</w:t>
      </w:r>
    </w:p>
    <w:p>
      <w:pPr>
        <w:ind w:left="227" w:hanging="113"/>
      </w:pPr>
      <w:r>
        <w:rPr>
          <w:b/>
          <w:color w:val="2F7F7A"/>
        </w:rPr>
        <w:t xml:space="preserve">• </w:t>
      </w:r>
      <w:r>
        <w:t>Anaesthesia and continuous monitoring are essential for safe surgery.</w:t>
      </w:r>
    </w:p>
    <w:p>
      <w:pPr>
        <w:ind w:left="227" w:hanging="113"/>
      </w:pPr>
      <w:r>
        <w:rPr>
          <w:b/>
          <w:color w:val="2F7F7A"/>
        </w:rPr>
        <w:t xml:space="preserve">• </w:t>
      </w:r>
      <w:r>
        <w:t>Image guidance improves accuracy in selected orthopaedic and trauma procedures.</w:t>
      </w:r>
    </w:p>
    <w:p>
      <w:pPr>
        <w:ind w:left="227" w:hanging="113"/>
      </w:pPr>
      <w:r>
        <w:rPr>
          <w:b/>
          <w:color w:val="2F7F7A"/>
        </w:rPr>
        <w:t xml:space="preserve">• </w:t>
      </w:r>
      <w:r>
        <w:t>Laparoscopic capability can support selected minimally invasive procedures.</w:t>
      </w:r>
    </w:p>
    <w:p>
      <w:pPr>
        <w:ind w:left="227" w:hanging="113"/>
      </w:pPr>
      <w:r>
        <w:rPr>
          <w:b/>
          <w:color w:val="2F7F7A"/>
        </w:rPr>
        <w:t xml:space="preserve">• </w:t>
      </w:r>
      <w:r>
        <w:t>Sterilisation infrastructure is fundamental to infection prevention and safe reuse of surgical instruments.</w:t>
      </w:r>
    </w:p>
    <w:p>
      <w:pPr>
        <w:ind w:left="227" w:hanging="113"/>
      </w:pPr>
      <w:r>
        <w:rPr>
          <w:b/>
          <w:color w:val="2F7F7A"/>
        </w:rPr>
        <w:t xml:space="preserve">• </w:t>
      </w:r>
      <w:r>
        <w:t>Local surgical capability can reduce avoidable referral travel and improve continuity from diagnosis to recovery.</w:t>
      </w:r>
    </w:p>
    <w:p>
      <w:pPr>
        <w:pStyle w:val="Heading2"/>
      </w:pPr>
      <w:r>
        <w:t>Proposed Surgical Care Pathway</w:t>
      </w:r>
    </w:p>
    <w:tbl>
      <w:tblPr>
        <w:tblStyle w:val="TableGrid"/>
        <w:tblW w:type="auto" w:w="0"/>
        <w:jc w:val="center"/>
        <w:tblLayout w:type="fixed"/>
        <w:tblLook w:firstColumn="1" w:firstRow="1" w:lastColumn="0" w:lastRow="0" w:noHBand="0" w:noVBand="1" w:val="04A0"/>
      </w:tblPr>
      <w:tblGrid>
        <w:gridCol w:w="1984"/>
        <w:gridCol w:w="3515"/>
        <w:gridCol w:w="3685"/>
      </w:tblGrid>
      <w:tr>
        <w:trPr>
          <w:tblHeader w:val="true"/>
        </w:trPr>
        <w:tc>
          <w:tcPr>
            <w:tcW w:type="dxa" w:w="3513"/>
            <w:shd w:fill="123E56"/>
            <w:tcMar>
              <w:top w:w="80" w:type="dxa"/>
              <w:start w:w="90" w:type="dxa"/>
              <w:bottom w:w="80" w:type="dxa"/>
              <w:end w:w="90" w:type="dxa"/>
            </w:tcMar>
          </w:tcPr>
          <w:p>
            <w:r>
              <w:rPr>
                <w:b/>
                <w:color w:val="FFFFFF"/>
                <w:sz w:val="17"/>
              </w:rPr>
              <w:t>Stage</w:t>
            </w:r>
          </w:p>
        </w:tc>
        <w:tc>
          <w:tcPr>
            <w:tcW w:type="dxa" w:w="3513"/>
            <w:shd w:fill="123E56"/>
            <w:tcMar>
              <w:top w:w="80" w:type="dxa"/>
              <w:start w:w="90" w:type="dxa"/>
              <w:bottom w:w="80" w:type="dxa"/>
              <w:end w:w="90" w:type="dxa"/>
            </w:tcMar>
          </w:tcPr>
          <w:p>
            <w:r>
              <w:rPr>
                <w:b/>
                <w:color w:val="FFFFFF"/>
                <w:sz w:val="17"/>
              </w:rPr>
              <w:t>OT Role</w:t>
            </w:r>
          </w:p>
        </w:tc>
        <w:tc>
          <w:tcPr>
            <w:tcW w:type="dxa" w:w="3513"/>
            <w:shd w:fill="123E56"/>
            <w:tcMar>
              <w:top w:w="80" w:type="dxa"/>
              <w:start w:w="90" w:type="dxa"/>
              <w:bottom w:w="80" w:type="dxa"/>
              <w:end w:w="90" w:type="dxa"/>
            </w:tcMar>
          </w:tcPr>
          <w:p>
            <w:r>
              <w:rPr>
                <w:b/>
                <w:color w:val="FFFFFF"/>
                <w:sz w:val="17"/>
              </w:rPr>
              <w:t>Patient Value</w:t>
            </w:r>
          </w:p>
        </w:tc>
      </w:tr>
      <w:tr>
        <w:tc>
          <w:tcPr>
            <w:tcW w:type="dxa" w:w="1984"/>
            <w:shd w:fill="F5F8F9"/>
            <w:vAlign w:val="center"/>
            <w:tcMar>
              <w:top w:w="65" w:type="dxa"/>
              <w:start w:w="85" w:type="dxa"/>
              <w:bottom w:w="65" w:type="dxa"/>
              <w:end w:w="85" w:type="dxa"/>
            </w:tcMar>
          </w:tcPr>
          <w:p>
            <w:r>
              <w:rPr>
                <w:b/>
                <w:color w:val="123E56"/>
                <w:sz w:val="17"/>
              </w:rPr>
              <w:t>Pre-operative preparation</w:t>
            </w:r>
          </w:p>
        </w:tc>
        <w:tc>
          <w:tcPr>
            <w:tcW w:type="dxa" w:w="3515"/>
            <w:shd w:fill="F5F8F9"/>
            <w:vAlign w:val="center"/>
            <w:tcMar>
              <w:top w:w="65" w:type="dxa"/>
              <w:start w:w="85" w:type="dxa"/>
              <w:bottom w:w="65" w:type="dxa"/>
              <w:end w:w="85" w:type="dxa"/>
            </w:tcMar>
          </w:tcPr>
          <w:p>
            <w:r>
              <w:rPr>
                <w:color w:val="253238"/>
                <w:sz w:val="17"/>
              </w:rPr>
              <w:t>Assessment, monitoring preparation, anaesthesia planning</w:t>
            </w:r>
          </w:p>
        </w:tc>
        <w:tc>
          <w:tcPr>
            <w:tcW w:type="dxa" w:w="3685"/>
            <w:shd w:fill="F5F8F9"/>
            <w:vAlign w:val="center"/>
            <w:tcMar>
              <w:top w:w="65" w:type="dxa"/>
              <w:start w:w="85" w:type="dxa"/>
              <w:bottom w:w="65" w:type="dxa"/>
              <w:end w:w="85" w:type="dxa"/>
            </w:tcMar>
          </w:tcPr>
          <w:p>
            <w:r>
              <w:rPr>
                <w:color w:val="253238"/>
                <w:sz w:val="17"/>
              </w:rPr>
              <w:t>Safer entry into surgery</w:t>
            </w:r>
          </w:p>
        </w:tc>
      </w:tr>
      <w:tr>
        <w:tc>
          <w:tcPr>
            <w:tcW w:type="dxa" w:w="1984"/>
            <w:vAlign w:val="center"/>
            <w:tcMar>
              <w:top w:w="65" w:type="dxa"/>
              <w:start w:w="85" w:type="dxa"/>
              <w:bottom w:w="65" w:type="dxa"/>
              <w:end w:w="85" w:type="dxa"/>
            </w:tcMar>
          </w:tcPr>
          <w:p>
            <w:r>
              <w:rPr>
                <w:b/>
                <w:color w:val="123E56"/>
                <w:sz w:val="17"/>
              </w:rPr>
              <w:t>Anaesthesia &amp; positioning</w:t>
            </w:r>
          </w:p>
        </w:tc>
        <w:tc>
          <w:tcPr>
            <w:tcW w:type="dxa" w:w="3515"/>
            <w:vAlign w:val="center"/>
            <w:tcMar>
              <w:top w:w="65" w:type="dxa"/>
              <w:start w:w="85" w:type="dxa"/>
              <w:bottom w:w="65" w:type="dxa"/>
              <w:end w:w="85" w:type="dxa"/>
            </w:tcMar>
          </w:tcPr>
          <w:p>
            <w:r>
              <w:rPr>
                <w:color w:val="253238"/>
                <w:sz w:val="17"/>
              </w:rPr>
              <w:t>Workstation, OT table, monitoring</w:t>
            </w:r>
          </w:p>
        </w:tc>
        <w:tc>
          <w:tcPr>
            <w:tcW w:type="dxa" w:w="3685"/>
            <w:vAlign w:val="center"/>
            <w:tcMar>
              <w:top w:w="65" w:type="dxa"/>
              <w:start w:w="85" w:type="dxa"/>
              <w:bottom w:w="65" w:type="dxa"/>
              <w:end w:w="85" w:type="dxa"/>
            </w:tcMar>
          </w:tcPr>
          <w:p>
            <w:r>
              <w:rPr>
                <w:color w:val="253238"/>
                <w:sz w:val="17"/>
              </w:rPr>
              <w:t>Controlled anaesthesia and secure surgical positioning</w:t>
            </w:r>
          </w:p>
        </w:tc>
      </w:tr>
      <w:tr>
        <w:tc>
          <w:tcPr>
            <w:tcW w:type="dxa" w:w="1984"/>
            <w:shd w:fill="F5F8F9"/>
            <w:vAlign w:val="center"/>
            <w:tcMar>
              <w:top w:w="65" w:type="dxa"/>
              <w:start w:w="85" w:type="dxa"/>
              <w:bottom w:w="65" w:type="dxa"/>
              <w:end w:w="85" w:type="dxa"/>
            </w:tcMar>
          </w:tcPr>
          <w:p>
            <w:r>
              <w:rPr>
                <w:b/>
                <w:color w:val="123E56"/>
                <w:sz w:val="17"/>
              </w:rPr>
              <w:t>Procedure</w:t>
            </w:r>
          </w:p>
        </w:tc>
        <w:tc>
          <w:tcPr>
            <w:tcW w:type="dxa" w:w="3515"/>
            <w:shd w:fill="F5F8F9"/>
            <w:vAlign w:val="center"/>
            <w:tcMar>
              <w:top w:w="65" w:type="dxa"/>
              <w:start w:w="85" w:type="dxa"/>
              <w:bottom w:w="65" w:type="dxa"/>
              <w:end w:w="85" w:type="dxa"/>
            </w:tcMar>
          </w:tcPr>
          <w:p>
            <w:r>
              <w:rPr>
                <w:color w:val="253238"/>
                <w:sz w:val="17"/>
              </w:rPr>
              <w:t>Lights, cautery, suction, instruments, microscope / laparoscopy</w:t>
            </w:r>
          </w:p>
        </w:tc>
        <w:tc>
          <w:tcPr>
            <w:tcW w:type="dxa" w:w="3685"/>
            <w:shd w:fill="F5F8F9"/>
            <w:vAlign w:val="center"/>
            <w:tcMar>
              <w:top w:w="65" w:type="dxa"/>
              <w:start w:w="85" w:type="dxa"/>
              <w:bottom w:w="65" w:type="dxa"/>
              <w:end w:w="85" w:type="dxa"/>
            </w:tcMar>
          </w:tcPr>
          <w:p>
            <w:r>
              <w:rPr>
                <w:color w:val="253238"/>
                <w:sz w:val="17"/>
              </w:rPr>
              <w:t>Efficient and technically supported surgery</w:t>
            </w:r>
          </w:p>
        </w:tc>
      </w:tr>
      <w:tr>
        <w:tc>
          <w:tcPr>
            <w:tcW w:type="dxa" w:w="1984"/>
            <w:vAlign w:val="center"/>
            <w:tcMar>
              <w:top w:w="65" w:type="dxa"/>
              <w:start w:w="85" w:type="dxa"/>
              <w:bottom w:w="65" w:type="dxa"/>
              <w:end w:w="85" w:type="dxa"/>
            </w:tcMar>
          </w:tcPr>
          <w:p>
            <w:r>
              <w:rPr>
                <w:b/>
                <w:color w:val="123E56"/>
                <w:sz w:val="17"/>
              </w:rPr>
              <w:t>Image guidance</w:t>
            </w:r>
          </w:p>
        </w:tc>
        <w:tc>
          <w:tcPr>
            <w:tcW w:type="dxa" w:w="3515"/>
            <w:vAlign w:val="center"/>
            <w:tcMar>
              <w:top w:w="65" w:type="dxa"/>
              <w:start w:w="85" w:type="dxa"/>
              <w:bottom w:w="65" w:type="dxa"/>
              <w:end w:w="85" w:type="dxa"/>
            </w:tcMar>
          </w:tcPr>
          <w:p>
            <w:r>
              <w:rPr>
                <w:color w:val="253238"/>
                <w:sz w:val="17"/>
              </w:rPr>
              <w:t>C-Arm where clinically indicated</w:t>
            </w:r>
          </w:p>
        </w:tc>
        <w:tc>
          <w:tcPr>
            <w:tcW w:type="dxa" w:w="3685"/>
            <w:vAlign w:val="center"/>
            <w:tcMar>
              <w:top w:w="65" w:type="dxa"/>
              <w:start w:w="85" w:type="dxa"/>
              <w:bottom w:w="65" w:type="dxa"/>
              <w:end w:w="85" w:type="dxa"/>
            </w:tcMar>
          </w:tcPr>
          <w:p>
            <w:r>
              <w:rPr>
                <w:color w:val="253238"/>
                <w:sz w:val="17"/>
              </w:rPr>
              <w:t>Real-time support for orthopaedic / trauma procedures</w:t>
            </w:r>
          </w:p>
        </w:tc>
      </w:tr>
      <w:tr>
        <w:tc>
          <w:tcPr>
            <w:tcW w:type="dxa" w:w="1984"/>
            <w:shd w:fill="F5F8F9"/>
            <w:vAlign w:val="center"/>
            <w:tcMar>
              <w:top w:w="65" w:type="dxa"/>
              <w:start w:w="85" w:type="dxa"/>
              <w:bottom w:w="65" w:type="dxa"/>
              <w:end w:w="85" w:type="dxa"/>
            </w:tcMar>
          </w:tcPr>
          <w:p>
            <w:r>
              <w:rPr>
                <w:b/>
                <w:color w:val="123E56"/>
                <w:sz w:val="17"/>
              </w:rPr>
              <w:t>Sterilisation</w:t>
            </w:r>
          </w:p>
        </w:tc>
        <w:tc>
          <w:tcPr>
            <w:tcW w:type="dxa" w:w="3515"/>
            <w:shd w:fill="F5F8F9"/>
            <w:vAlign w:val="center"/>
            <w:tcMar>
              <w:top w:w="65" w:type="dxa"/>
              <w:start w:w="85" w:type="dxa"/>
              <w:bottom w:w="65" w:type="dxa"/>
              <w:end w:w="85" w:type="dxa"/>
            </w:tcMar>
          </w:tcPr>
          <w:p>
            <w:r>
              <w:rPr>
                <w:color w:val="253238"/>
                <w:sz w:val="17"/>
              </w:rPr>
              <w:t>Autoclave / ETO processing</w:t>
            </w:r>
          </w:p>
        </w:tc>
        <w:tc>
          <w:tcPr>
            <w:tcW w:type="dxa" w:w="3685"/>
            <w:shd w:fill="F5F8F9"/>
            <w:vAlign w:val="center"/>
            <w:tcMar>
              <w:top w:w="65" w:type="dxa"/>
              <w:start w:w="85" w:type="dxa"/>
              <w:bottom w:w="65" w:type="dxa"/>
              <w:end w:w="85" w:type="dxa"/>
            </w:tcMar>
          </w:tcPr>
          <w:p>
            <w:r>
              <w:rPr>
                <w:color w:val="253238"/>
                <w:sz w:val="17"/>
              </w:rPr>
              <w:t>Infection-control support for reusable instruments</w:t>
            </w:r>
          </w:p>
        </w:tc>
      </w:tr>
      <w:tr>
        <w:tc>
          <w:tcPr>
            <w:tcW w:type="dxa" w:w="1984"/>
            <w:vAlign w:val="center"/>
            <w:tcMar>
              <w:top w:w="65" w:type="dxa"/>
              <w:start w:w="85" w:type="dxa"/>
              <w:bottom w:w="65" w:type="dxa"/>
              <w:end w:w="85" w:type="dxa"/>
            </w:tcMar>
          </w:tcPr>
          <w:p>
            <w:r>
              <w:rPr>
                <w:b/>
                <w:color w:val="123E56"/>
                <w:sz w:val="17"/>
              </w:rPr>
              <w:t>Recovery &amp; transfer</w:t>
            </w:r>
          </w:p>
        </w:tc>
        <w:tc>
          <w:tcPr>
            <w:tcW w:type="dxa" w:w="3515"/>
            <w:vAlign w:val="center"/>
            <w:tcMar>
              <w:top w:w="65" w:type="dxa"/>
              <w:start w:w="85" w:type="dxa"/>
              <w:bottom w:w="65" w:type="dxa"/>
              <w:end w:w="85" w:type="dxa"/>
            </w:tcMar>
          </w:tcPr>
          <w:p>
            <w:r>
              <w:rPr>
                <w:color w:val="253238"/>
                <w:sz w:val="17"/>
              </w:rPr>
              <w:t>Coordination with ICU / inpatient wards</w:t>
            </w:r>
          </w:p>
        </w:tc>
        <w:tc>
          <w:tcPr>
            <w:tcW w:type="dxa" w:w="3685"/>
            <w:vAlign w:val="center"/>
            <w:tcMar>
              <w:top w:w="65" w:type="dxa"/>
              <w:start w:w="85" w:type="dxa"/>
              <w:bottom w:w="65" w:type="dxa"/>
              <w:end w:w="85" w:type="dxa"/>
            </w:tcMar>
          </w:tcPr>
          <w:p>
            <w:r>
              <w:rPr>
                <w:color w:val="253238"/>
                <w:sz w:val="17"/>
              </w:rPr>
              <w:t>Continuity after surgery</w:t>
            </w:r>
          </w:p>
        </w:tc>
      </w:tr>
    </w:tbl>
    <w:p/>
    <w:tbl>
      <w:tblPr>
        <w:tblW w:type="auto" w:w="0"/>
        <w:jc w:val="center"/>
        <w:tblLook w:firstColumn="1" w:firstRow="1" w:lastColumn="0" w:lastRow="0" w:noHBand="0" w:noVBand="1" w:val="04A0"/>
      </w:tblPr>
      <w:tblGrid>
        <w:gridCol w:w="10540"/>
      </w:tblGrid>
      <w:tr>
        <w:tc>
          <w:tcPr>
            <w:tcW w:type="dxa" w:w="10540"/>
            <w:shd w:fill="EAF4F3"/>
            <w:tcMar>
              <w:top w:w="115" w:type="dxa"/>
              <w:start w:w="160" w:type="dxa"/>
              <w:bottom w:w="115" w:type="dxa"/>
              <w:end w:w="160" w:type="dxa"/>
            </w:tcMar>
          </w:tcPr>
          <w:p>
            <w:pPr>
              <w:jc w:val="center"/>
            </w:pPr>
            <w:r>
              <w:rPr>
                <w:b/>
                <w:i/>
                <w:color w:val="123E56"/>
                <w:sz w:val="24"/>
              </w:rPr>
              <w:t>“The operation theatre is where diagnostics, anaesthesia, surgery, imaging and infection control must function as one system.”</w:t>
            </w:r>
          </w:p>
        </w:tc>
      </w:tr>
    </w:tbl>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DETAILED CAPITAL BUDGET</w:t>
      </w:r>
    </w:p>
    <w:p>
      <w:pPr>
        <w:spacing w:after="140"/>
        <w:pBdr>
          <w:bottom w:val="single" w:sz="12" w:space="1" w:color="2F7F7A"/>
        </w:pBdr>
      </w:pPr>
    </w:p>
    <w:tbl>
      <w:tblPr>
        <w:tblStyle w:val="TableGrid"/>
        <w:tblW w:type="auto" w:w="0"/>
        <w:jc w:val="center"/>
        <w:tblLayout w:type="fixed"/>
        <w:tblLook w:firstColumn="1" w:firstRow="1" w:lastColumn="0" w:lastRow="0" w:noHBand="0" w:noVBand="1" w:val="04A0"/>
      </w:tblPr>
      <w:tblGrid>
        <w:gridCol w:w="4876"/>
        <w:gridCol w:w="1474"/>
        <w:gridCol w:w="2835"/>
      </w:tblGrid>
      <w:tr>
        <w:trPr>
          <w:tblHeader w:val="true"/>
        </w:trPr>
        <w:tc>
          <w:tcPr>
            <w:tcW w:type="dxa" w:w="3513"/>
            <w:shd w:fill="123E56"/>
            <w:tcMar>
              <w:top w:w="80" w:type="dxa"/>
              <w:start w:w="90" w:type="dxa"/>
              <w:bottom w:w="80" w:type="dxa"/>
              <w:end w:w="90" w:type="dxa"/>
            </w:tcMar>
          </w:tcPr>
          <w:p>
            <w:r>
              <w:rPr>
                <w:b/>
                <w:color w:val="FFFFFF"/>
                <w:sz w:val="17"/>
              </w:rPr>
              <w:t>Equipment / Component</w:t>
            </w:r>
          </w:p>
        </w:tc>
        <w:tc>
          <w:tcPr>
            <w:tcW w:type="dxa" w:w="3513"/>
            <w:shd w:fill="123E56"/>
            <w:tcMar>
              <w:top w:w="80" w:type="dxa"/>
              <w:start w:w="90" w:type="dxa"/>
              <w:bottom w:w="80" w:type="dxa"/>
              <w:end w:w="90" w:type="dxa"/>
            </w:tcMar>
          </w:tcPr>
          <w:p>
            <w:r>
              <w:rPr>
                <w:b/>
                <w:color w:val="FFFFFF"/>
                <w:sz w:val="17"/>
              </w:rPr>
              <w:t>Quantity</w:t>
            </w:r>
          </w:p>
        </w:tc>
        <w:tc>
          <w:tcPr>
            <w:tcW w:type="dxa" w:w="3513"/>
            <w:shd w:fill="123E56"/>
            <w:tcMar>
              <w:top w:w="80" w:type="dxa"/>
              <w:start w:w="90" w:type="dxa"/>
              <w:bottom w:w="80" w:type="dxa"/>
              <w:end w:w="90" w:type="dxa"/>
            </w:tcMar>
          </w:tcPr>
          <w:p>
            <w:r>
              <w:rPr>
                <w:b/>
                <w:color w:val="FFFFFF"/>
                <w:sz w:val="17"/>
              </w:rPr>
              <w:t>Source Allocation</w:t>
            </w:r>
          </w:p>
        </w:tc>
      </w:tr>
      <w:tr>
        <w:tc>
          <w:tcPr>
            <w:tcW w:type="dxa" w:w="4876"/>
            <w:shd w:fill="F5F8F9"/>
            <w:vAlign w:val="center"/>
            <w:tcMar>
              <w:top w:w="65" w:type="dxa"/>
              <w:start w:w="85" w:type="dxa"/>
              <w:bottom w:w="65" w:type="dxa"/>
              <w:end w:w="85" w:type="dxa"/>
            </w:tcMar>
          </w:tcPr>
          <w:p>
            <w:r>
              <w:rPr>
                <w:b/>
                <w:color w:val="123E56"/>
                <w:sz w:val="17"/>
              </w:rPr>
              <w:t>Anaesthesia Workstations</w:t>
            </w:r>
          </w:p>
        </w:tc>
        <w:tc>
          <w:tcPr>
            <w:tcW w:type="dxa" w:w="1474"/>
            <w:shd w:fill="F5F8F9"/>
            <w:vAlign w:val="center"/>
            <w:tcMar>
              <w:top w:w="65" w:type="dxa"/>
              <w:start w:w="85" w:type="dxa"/>
              <w:bottom w:w="65" w:type="dxa"/>
              <w:end w:w="85" w:type="dxa"/>
            </w:tcMar>
          </w:tcPr>
          <w:p>
            <w:r>
              <w:rPr>
                <w:color w:val="253238"/>
                <w:sz w:val="17"/>
              </w:rPr>
              <w:t>2 Units</w:t>
            </w:r>
          </w:p>
        </w:tc>
        <w:tc>
          <w:tcPr>
            <w:tcW w:type="dxa" w:w="2835"/>
            <w:shd w:fill="F5F8F9"/>
            <w:vAlign w:val="center"/>
            <w:tcMar>
              <w:top w:w="65" w:type="dxa"/>
              <w:start w:w="85" w:type="dxa"/>
              <w:bottom w:w="65" w:type="dxa"/>
              <w:end w:w="85" w:type="dxa"/>
            </w:tcMar>
          </w:tcPr>
          <w:p>
            <w:r>
              <w:rPr>
                <w:color w:val="253238"/>
                <w:sz w:val="17"/>
              </w:rPr>
              <w:t>₹20,00,000</w:t>
            </w:r>
          </w:p>
        </w:tc>
      </w:tr>
      <w:tr>
        <w:tc>
          <w:tcPr>
            <w:tcW w:type="dxa" w:w="4876"/>
            <w:vAlign w:val="center"/>
            <w:tcMar>
              <w:top w:w="65" w:type="dxa"/>
              <w:start w:w="85" w:type="dxa"/>
              <w:bottom w:w="65" w:type="dxa"/>
              <w:end w:w="85" w:type="dxa"/>
            </w:tcMar>
          </w:tcPr>
          <w:p>
            <w:r>
              <w:rPr>
                <w:b/>
                <w:color w:val="123E56"/>
                <w:sz w:val="17"/>
              </w:rPr>
              <w:t>Electric OT Tables</w:t>
            </w:r>
          </w:p>
        </w:tc>
        <w:tc>
          <w:tcPr>
            <w:tcW w:type="dxa" w:w="1474"/>
            <w:vAlign w:val="center"/>
            <w:tcMar>
              <w:top w:w="65" w:type="dxa"/>
              <w:start w:w="85" w:type="dxa"/>
              <w:bottom w:w="65" w:type="dxa"/>
              <w:end w:w="85" w:type="dxa"/>
            </w:tcMar>
          </w:tcPr>
          <w:p>
            <w:r>
              <w:rPr>
                <w:color w:val="253238"/>
                <w:sz w:val="17"/>
              </w:rPr>
              <w:t>2 Units</w:t>
            </w:r>
          </w:p>
        </w:tc>
        <w:tc>
          <w:tcPr>
            <w:tcW w:type="dxa" w:w="2835"/>
            <w:vAlign w:val="center"/>
            <w:tcMar>
              <w:top w:w="65" w:type="dxa"/>
              <w:start w:w="85" w:type="dxa"/>
              <w:bottom w:w="65" w:type="dxa"/>
              <w:end w:w="85" w:type="dxa"/>
            </w:tcMar>
          </w:tcPr>
          <w:p>
            <w:r>
              <w:rPr>
                <w:color w:val="253238"/>
                <w:sz w:val="17"/>
              </w:rPr>
              <w:t>₹6,00,000</w:t>
            </w:r>
          </w:p>
        </w:tc>
      </w:tr>
      <w:tr>
        <w:tc>
          <w:tcPr>
            <w:tcW w:type="dxa" w:w="4876"/>
            <w:shd w:fill="F5F8F9"/>
            <w:vAlign w:val="center"/>
            <w:tcMar>
              <w:top w:w="65" w:type="dxa"/>
              <w:start w:w="85" w:type="dxa"/>
              <w:bottom w:w="65" w:type="dxa"/>
              <w:end w:w="85" w:type="dxa"/>
            </w:tcMar>
          </w:tcPr>
          <w:p>
            <w:r>
              <w:rPr>
                <w:b/>
                <w:color w:val="123E56"/>
                <w:sz w:val="17"/>
              </w:rPr>
              <w:t>LED OT Lights</w:t>
            </w:r>
          </w:p>
        </w:tc>
        <w:tc>
          <w:tcPr>
            <w:tcW w:type="dxa" w:w="1474"/>
            <w:shd w:fill="F5F8F9"/>
            <w:vAlign w:val="center"/>
            <w:tcMar>
              <w:top w:w="65" w:type="dxa"/>
              <w:start w:w="85" w:type="dxa"/>
              <w:bottom w:w="65" w:type="dxa"/>
              <w:end w:w="85" w:type="dxa"/>
            </w:tcMar>
          </w:tcPr>
          <w:p>
            <w:r>
              <w:rPr>
                <w:color w:val="253238"/>
                <w:sz w:val="17"/>
              </w:rPr>
              <w:t>2 Units</w:t>
            </w:r>
          </w:p>
        </w:tc>
        <w:tc>
          <w:tcPr>
            <w:tcW w:type="dxa" w:w="2835"/>
            <w:shd w:fill="F5F8F9"/>
            <w:vAlign w:val="center"/>
            <w:tcMar>
              <w:top w:w="65" w:type="dxa"/>
              <w:start w:w="85" w:type="dxa"/>
              <w:bottom w:w="65" w:type="dxa"/>
              <w:end w:w="85" w:type="dxa"/>
            </w:tcMar>
          </w:tcPr>
          <w:p>
            <w:r>
              <w:rPr>
                <w:color w:val="253238"/>
                <w:sz w:val="17"/>
              </w:rPr>
              <w:t>₹5,00,000</w:t>
            </w:r>
          </w:p>
        </w:tc>
      </w:tr>
      <w:tr>
        <w:tc>
          <w:tcPr>
            <w:tcW w:type="dxa" w:w="4876"/>
            <w:vAlign w:val="center"/>
            <w:tcMar>
              <w:top w:w="65" w:type="dxa"/>
              <w:start w:w="85" w:type="dxa"/>
              <w:bottom w:w="65" w:type="dxa"/>
              <w:end w:w="85" w:type="dxa"/>
            </w:tcMar>
          </w:tcPr>
          <w:p>
            <w:r>
              <w:rPr>
                <w:b/>
                <w:color w:val="123E56"/>
                <w:sz w:val="17"/>
              </w:rPr>
              <w:t>Electrocautery Unit</w:t>
            </w:r>
          </w:p>
        </w:tc>
        <w:tc>
          <w:tcPr>
            <w:tcW w:type="dxa" w:w="1474"/>
            <w:vAlign w:val="center"/>
            <w:tcMar>
              <w:top w:w="65" w:type="dxa"/>
              <w:start w:w="85" w:type="dxa"/>
              <w:bottom w:w="65" w:type="dxa"/>
              <w:end w:w="85" w:type="dxa"/>
            </w:tcMar>
          </w:tcPr>
          <w:p>
            <w:r>
              <w:rPr>
                <w:color w:val="253238"/>
                <w:sz w:val="17"/>
              </w:rPr>
              <w:t>1 Unit</w:t>
            </w:r>
          </w:p>
        </w:tc>
        <w:tc>
          <w:tcPr>
            <w:tcW w:type="dxa" w:w="2835"/>
            <w:vAlign w:val="center"/>
            <w:tcMar>
              <w:top w:w="65" w:type="dxa"/>
              <w:start w:w="85" w:type="dxa"/>
              <w:bottom w:w="65" w:type="dxa"/>
              <w:end w:w="85" w:type="dxa"/>
            </w:tcMar>
          </w:tcPr>
          <w:p>
            <w:r>
              <w:rPr>
                <w:color w:val="253238"/>
                <w:sz w:val="17"/>
              </w:rPr>
              <w:t>₹3,00,000</w:t>
            </w:r>
          </w:p>
        </w:tc>
      </w:tr>
      <w:tr>
        <w:tc>
          <w:tcPr>
            <w:tcW w:type="dxa" w:w="4876"/>
            <w:shd w:fill="F5F8F9"/>
            <w:vAlign w:val="center"/>
            <w:tcMar>
              <w:top w:w="65" w:type="dxa"/>
              <w:start w:w="85" w:type="dxa"/>
              <w:bottom w:w="65" w:type="dxa"/>
              <w:end w:w="85" w:type="dxa"/>
            </w:tcMar>
          </w:tcPr>
          <w:p>
            <w:r>
              <w:rPr>
                <w:b/>
                <w:color w:val="123E56"/>
                <w:sz w:val="17"/>
              </w:rPr>
              <w:t>Suction Machines</w:t>
            </w:r>
          </w:p>
        </w:tc>
        <w:tc>
          <w:tcPr>
            <w:tcW w:type="dxa" w:w="1474"/>
            <w:shd w:fill="F5F8F9"/>
            <w:vAlign w:val="center"/>
            <w:tcMar>
              <w:top w:w="65" w:type="dxa"/>
              <w:start w:w="85" w:type="dxa"/>
              <w:bottom w:w="65" w:type="dxa"/>
              <w:end w:w="85" w:type="dxa"/>
            </w:tcMar>
          </w:tcPr>
          <w:p>
            <w:r>
              <w:rPr>
                <w:color w:val="253238"/>
                <w:sz w:val="17"/>
              </w:rPr>
              <w:t>—</w:t>
            </w:r>
          </w:p>
        </w:tc>
        <w:tc>
          <w:tcPr>
            <w:tcW w:type="dxa" w:w="2835"/>
            <w:shd w:fill="F5F8F9"/>
            <w:vAlign w:val="center"/>
            <w:tcMar>
              <w:top w:w="65" w:type="dxa"/>
              <w:start w:w="85" w:type="dxa"/>
              <w:bottom w:w="65" w:type="dxa"/>
              <w:end w:w="85" w:type="dxa"/>
            </w:tcMar>
          </w:tcPr>
          <w:p>
            <w:r>
              <w:rPr>
                <w:color w:val="253238"/>
                <w:sz w:val="17"/>
              </w:rPr>
              <w:t>₹1,00,000</w:t>
            </w:r>
          </w:p>
        </w:tc>
      </w:tr>
      <w:tr>
        <w:tc>
          <w:tcPr>
            <w:tcW w:type="dxa" w:w="4876"/>
            <w:vAlign w:val="center"/>
            <w:tcMar>
              <w:top w:w="65" w:type="dxa"/>
              <w:start w:w="85" w:type="dxa"/>
              <w:bottom w:w="65" w:type="dxa"/>
              <w:end w:w="85" w:type="dxa"/>
            </w:tcMar>
          </w:tcPr>
          <w:p>
            <w:r>
              <w:rPr>
                <w:b/>
                <w:color w:val="123E56"/>
                <w:sz w:val="17"/>
              </w:rPr>
              <w:t>Laparoscopic Instrument Sets</w:t>
            </w:r>
          </w:p>
        </w:tc>
        <w:tc>
          <w:tcPr>
            <w:tcW w:type="dxa" w:w="1474"/>
            <w:vAlign w:val="center"/>
            <w:tcMar>
              <w:top w:w="65" w:type="dxa"/>
              <w:start w:w="85" w:type="dxa"/>
              <w:bottom w:w="65" w:type="dxa"/>
              <w:end w:w="85" w:type="dxa"/>
            </w:tcMar>
          </w:tcPr>
          <w:p>
            <w:r>
              <w:rPr>
                <w:color w:val="253238"/>
                <w:sz w:val="17"/>
              </w:rPr>
              <w:t>—</w:t>
            </w:r>
          </w:p>
        </w:tc>
        <w:tc>
          <w:tcPr>
            <w:tcW w:type="dxa" w:w="2835"/>
            <w:vAlign w:val="center"/>
            <w:tcMar>
              <w:top w:w="65" w:type="dxa"/>
              <w:start w:w="85" w:type="dxa"/>
              <w:bottom w:w="65" w:type="dxa"/>
              <w:end w:w="85" w:type="dxa"/>
            </w:tcMar>
          </w:tcPr>
          <w:p>
            <w:r>
              <w:rPr>
                <w:color w:val="253238"/>
                <w:sz w:val="17"/>
              </w:rPr>
              <w:t>₹9,60,000</w:t>
            </w:r>
          </w:p>
        </w:tc>
      </w:tr>
      <w:tr>
        <w:tc>
          <w:tcPr>
            <w:tcW w:type="dxa" w:w="4876"/>
            <w:shd w:fill="F5F8F9"/>
            <w:vAlign w:val="center"/>
            <w:tcMar>
              <w:top w:w="65" w:type="dxa"/>
              <w:start w:w="85" w:type="dxa"/>
              <w:bottom w:w="65" w:type="dxa"/>
              <w:end w:w="85" w:type="dxa"/>
            </w:tcMar>
          </w:tcPr>
          <w:p>
            <w:r>
              <w:rPr>
                <w:b/>
                <w:color w:val="123E56"/>
                <w:sz w:val="17"/>
              </w:rPr>
              <w:t>Multipara Monitors</w:t>
            </w:r>
          </w:p>
        </w:tc>
        <w:tc>
          <w:tcPr>
            <w:tcW w:type="dxa" w:w="1474"/>
            <w:shd w:fill="F5F8F9"/>
            <w:vAlign w:val="center"/>
            <w:tcMar>
              <w:top w:w="65" w:type="dxa"/>
              <w:start w:w="85" w:type="dxa"/>
              <w:bottom w:w="65" w:type="dxa"/>
              <w:end w:w="85" w:type="dxa"/>
            </w:tcMar>
          </w:tcPr>
          <w:p>
            <w:r>
              <w:rPr>
                <w:color w:val="253238"/>
                <w:sz w:val="17"/>
              </w:rPr>
              <w:t>—</w:t>
            </w:r>
          </w:p>
        </w:tc>
        <w:tc>
          <w:tcPr>
            <w:tcW w:type="dxa" w:w="2835"/>
            <w:shd w:fill="F5F8F9"/>
            <w:vAlign w:val="center"/>
            <w:tcMar>
              <w:top w:w="65" w:type="dxa"/>
              <w:start w:w="85" w:type="dxa"/>
              <w:bottom w:w="65" w:type="dxa"/>
              <w:end w:w="85" w:type="dxa"/>
            </w:tcMar>
          </w:tcPr>
          <w:p>
            <w:r>
              <w:rPr>
                <w:color w:val="253238"/>
                <w:sz w:val="17"/>
              </w:rPr>
              <w:t>₹7,20,000</w:t>
            </w:r>
          </w:p>
        </w:tc>
      </w:tr>
      <w:tr>
        <w:tc>
          <w:tcPr>
            <w:tcW w:type="dxa" w:w="4876"/>
            <w:vAlign w:val="center"/>
            <w:tcMar>
              <w:top w:w="65" w:type="dxa"/>
              <w:start w:w="85" w:type="dxa"/>
              <w:bottom w:w="65" w:type="dxa"/>
              <w:end w:w="85" w:type="dxa"/>
            </w:tcMar>
          </w:tcPr>
          <w:p>
            <w:r>
              <w:rPr>
                <w:b/>
                <w:color w:val="123E56"/>
                <w:sz w:val="17"/>
              </w:rPr>
              <w:t>C-Arm Imaging System</w:t>
            </w:r>
          </w:p>
        </w:tc>
        <w:tc>
          <w:tcPr>
            <w:tcW w:type="dxa" w:w="1474"/>
            <w:vAlign w:val="center"/>
            <w:tcMar>
              <w:top w:w="65" w:type="dxa"/>
              <w:start w:w="85" w:type="dxa"/>
              <w:bottom w:w="65" w:type="dxa"/>
              <w:end w:w="85" w:type="dxa"/>
            </w:tcMar>
          </w:tcPr>
          <w:p>
            <w:r>
              <w:rPr>
                <w:color w:val="253238"/>
                <w:sz w:val="17"/>
              </w:rPr>
              <w:t>1 Unit</w:t>
            </w:r>
          </w:p>
        </w:tc>
        <w:tc>
          <w:tcPr>
            <w:tcW w:type="dxa" w:w="2835"/>
            <w:vAlign w:val="center"/>
            <w:tcMar>
              <w:top w:w="65" w:type="dxa"/>
              <w:start w:w="85" w:type="dxa"/>
              <w:bottom w:w="65" w:type="dxa"/>
              <w:end w:w="85" w:type="dxa"/>
            </w:tcMar>
          </w:tcPr>
          <w:p>
            <w:r>
              <w:rPr>
                <w:color w:val="253238"/>
                <w:sz w:val="17"/>
              </w:rPr>
              <w:t>₹15,00,000</w:t>
            </w:r>
          </w:p>
        </w:tc>
      </w:tr>
      <w:tr>
        <w:tc>
          <w:tcPr>
            <w:tcW w:type="dxa" w:w="4876"/>
            <w:shd w:fill="F5F8F9"/>
            <w:vAlign w:val="center"/>
            <w:tcMar>
              <w:top w:w="65" w:type="dxa"/>
              <w:start w:w="85" w:type="dxa"/>
              <w:bottom w:w="65" w:type="dxa"/>
              <w:end w:w="85" w:type="dxa"/>
            </w:tcMar>
          </w:tcPr>
          <w:p>
            <w:r>
              <w:rPr>
                <w:b/>
                <w:color w:val="123E56"/>
                <w:sz w:val="17"/>
              </w:rPr>
              <w:t>Orthopaedic &amp; General Surgery Instruments</w:t>
            </w:r>
          </w:p>
        </w:tc>
        <w:tc>
          <w:tcPr>
            <w:tcW w:type="dxa" w:w="1474"/>
            <w:shd w:fill="F5F8F9"/>
            <w:vAlign w:val="center"/>
            <w:tcMar>
              <w:top w:w="65" w:type="dxa"/>
              <w:start w:w="85" w:type="dxa"/>
              <w:bottom w:w="65" w:type="dxa"/>
              <w:end w:w="85" w:type="dxa"/>
            </w:tcMar>
          </w:tcPr>
          <w:p>
            <w:r>
              <w:rPr>
                <w:color w:val="253238"/>
                <w:sz w:val="17"/>
              </w:rPr>
              <w:t>Sets</w:t>
            </w:r>
          </w:p>
        </w:tc>
        <w:tc>
          <w:tcPr>
            <w:tcW w:type="dxa" w:w="2835"/>
            <w:shd w:fill="F5F8F9"/>
            <w:vAlign w:val="center"/>
            <w:tcMar>
              <w:top w:w="65" w:type="dxa"/>
              <w:start w:w="85" w:type="dxa"/>
              <w:bottom w:w="65" w:type="dxa"/>
              <w:end w:w="85" w:type="dxa"/>
            </w:tcMar>
          </w:tcPr>
          <w:p>
            <w:r>
              <w:rPr>
                <w:color w:val="253238"/>
                <w:sz w:val="17"/>
              </w:rPr>
              <w:t>₹10,00,000</w:t>
            </w:r>
          </w:p>
        </w:tc>
      </w:tr>
      <w:tr>
        <w:tc>
          <w:tcPr>
            <w:tcW w:type="dxa" w:w="4876"/>
            <w:vAlign w:val="center"/>
            <w:tcMar>
              <w:top w:w="65" w:type="dxa"/>
              <w:start w:w="85" w:type="dxa"/>
              <w:bottom w:w="65" w:type="dxa"/>
              <w:end w:w="85" w:type="dxa"/>
            </w:tcMar>
          </w:tcPr>
          <w:p>
            <w:r>
              <w:rPr>
                <w:b/>
                <w:color w:val="123E56"/>
                <w:sz w:val="17"/>
              </w:rPr>
              <w:t>Operating Microscope</w:t>
            </w:r>
          </w:p>
        </w:tc>
        <w:tc>
          <w:tcPr>
            <w:tcW w:type="dxa" w:w="1474"/>
            <w:vAlign w:val="center"/>
            <w:tcMar>
              <w:top w:w="65" w:type="dxa"/>
              <w:start w:w="85" w:type="dxa"/>
              <w:bottom w:w="65" w:type="dxa"/>
              <w:end w:w="85" w:type="dxa"/>
            </w:tcMar>
          </w:tcPr>
          <w:p>
            <w:r>
              <w:rPr>
                <w:color w:val="253238"/>
                <w:sz w:val="17"/>
              </w:rPr>
              <w:t>1 Unit</w:t>
            </w:r>
          </w:p>
        </w:tc>
        <w:tc>
          <w:tcPr>
            <w:tcW w:type="dxa" w:w="2835"/>
            <w:vAlign w:val="center"/>
            <w:tcMar>
              <w:top w:w="65" w:type="dxa"/>
              <w:start w:w="85" w:type="dxa"/>
              <w:bottom w:w="65" w:type="dxa"/>
              <w:end w:w="85" w:type="dxa"/>
            </w:tcMar>
          </w:tcPr>
          <w:p>
            <w:r>
              <w:rPr>
                <w:color w:val="253238"/>
                <w:sz w:val="17"/>
              </w:rPr>
              <w:t>₹5,00,000</w:t>
            </w:r>
          </w:p>
        </w:tc>
      </w:tr>
      <w:tr>
        <w:tc>
          <w:tcPr>
            <w:tcW w:type="dxa" w:w="4876"/>
            <w:shd w:fill="F5F8F9"/>
            <w:vAlign w:val="center"/>
            <w:tcMar>
              <w:top w:w="65" w:type="dxa"/>
              <w:start w:w="85" w:type="dxa"/>
              <w:bottom w:w="65" w:type="dxa"/>
              <w:end w:w="85" w:type="dxa"/>
            </w:tcMar>
          </w:tcPr>
          <w:p>
            <w:r>
              <w:rPr>
                <w:b/>
                <w:color w:val="123E56"/>
                <w:sz w:val="17"/>
              </w:rPr>
              <w:t>Autoclave &amp; ETO Sterilisation Unit</w:t>
            </w:r>
          </w:p>
        </w:tc>
        <w:tc>
          <w:tcPr>
            <w:tcW w:type="dxa" w:w="1474"/>
            <w:shd w:fill="F5F8F9"/>
            <w:vAlign w:val="center"/>
            <w:tcMar>
              <w:top w:w="65" w:type="dxa"/>
              <w:start w:w="85" w:type="dxa"/>
              <w:bottom w:w="65" w:type="dxa"/>
              <w:end w:w="85" w:type="dxa"/>
            </w:tcMar>
          </w:tcPr>
          <w:p>
            <w:r>
              <w:rPr>
                <w:color w:val="253238"/>
                <w:sz w:val="17"/>
              </w:rPr>
              <w:t>—</w:t>
            </w:r>
          </w:p>
        </w:tc>
        <w:tc>
          <w:tcPr>
            <w:tcW w:type="dxa" w:w="2835"/>
            <w:shd w:fill="F5F8F9"/>
            <w:vAlign w:val="center"/>
            <w:tcMar>
              <w:top w:w="65" w:type="dxa"/>
              <w:start w:w="85" w:type="dxa"/>
              <w:bottom w:w="65" w:type="dxa"/>
              <w:end w:w="85" w:type="dxa"/>
            </w:tcMar>
          </w:tcPr>
          <w:p>
            <w:r>
              <w:rPr>
                <w:color w:val="253238"/>
                <w:sz w:val="17"/>
              </w:rPr>
              <w:t>₹5,00,000</w:t>
            </w:r>
          </w:p>
        </w:tc>
      </w:tr>
    </w:tbl>
    <w:p/>
    <w:tbl>
      <w:tblPr>
        <w:tblW w:type="auto" w:w="0"/>
        <w:jc w:val="center"/>
        <w:tblLayout w:type="fixed"/>
        <w:tblLook w:firstColumn="1" w:firstRow="1" w:lastColumn="0" w:lastRow="0" w:noHBand="0" w:noVBand="1" w:val="04A0"/>
      </w:tblPr>
      <w:tblGrid>
        <w:gridCol w:w="7087"/>
        <w:gridCol w:w="2381"/>
      </w:tblGrid>
      <w:tr>
        <w:tc>
          <w:tcPr>
            <w:tcW w:type="dxa" w:w="5270"/>
            <w:shd w:fill="123E56"/>
            <w:tcMar>
              <w:top w:w="120" w:type="dxa"/>
              <w:start w:w="140" w:type="dxa"/>
              <w:bottom w:w="120" w:type="dxa"/>
              <w:end w:w="140" w:type="dxa"/>
            </w:tcMar>
          </w:tcPr>
          <w:p>
            <w:r>
              <w:rPr>
                <w:b/>
                <w:color w:val="FFFFFF"/>
                <w:sz w:val="21"/>
              </w:rPr>
              <w:t>TOTAL OPERATION THEATRE EQUIPMENT</w:t>
            </w:r>
          </w:p>
        </w:tc>
        <w:tc>
          <w:tcPr>
            <w:tcW w:type="dxa" w:w="5270"/>
            <w:shd w:fill="2F7F7A"/>
            <w:tcMar>
              <w:top w:w="120" w:type="dxa"/>
              <w:start w:w="140" w:type="dxa"/>
              <w:bottom w:w="120" w:type="dxa"/>
              <w:end w:w="140" w:type="dxa"/>
            </w:tcMar>
          </w:tcPr>
          <w:p>
            <w:pPr>
              <w:jc w:val="right"/>
            </w:pPr>
            <w:r>
              <w:rPr>
                <w:b/>
                <w:color w:val="FFFFFF"/>
                <w:sz w:val="28"/>
              </w:rPr>
              <w:t>₹86,80,000</w:t>
            </w:r>
          </w:p>
        </w:tc>
      </w:tr>
    </w:tbl>
    <w:p/>
    <w:p>
      <w:pPr>
        <w:pStyle w:val="Heading2"/>
      </w:pPr>
      <w:r>
        <w:t>Budget Integrity</w:t>
      </w:r>
    </w:p>
    <w:p>
      <w:r>
        <w:t>The allocations above are reproduced from the hospital's current equipment estimate and sum exactly to ₹86,80,000. No additional equipment cost has been merged into this core figure. Final procurement values should be established through technical specifications and competitive OEM / authorised-dealer quotations.</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ANAESTHESIA, POSITIONING &amp; MONITORING</w:t>
      </w:r>
    </w:p>
    <w:p>
      <w:pPr>
        <w:spacing w:after="140"/>
        <w:pBdr>
          <w:bottom w:val="single" w:sz="12" w:space="1" w:color="2F7F7A"/>
        </w:pBdr>
      </w:pPr>
    </w:p>
    <w:p>
      <w:pPr>
        <w:jc w:val="center"/>
      </w:pPr>
      <w:r>
        <w:drawing>
          <wp:inline xmlns:a="http://schemas.openxmlformats.org/drawingml/2006/main" xmlns:pic="http://schemas.openxmlformats.org/drawingml/2006/picture">
            <wp:extent cx="2808000" cy="2115542"/>
            <wp:docPr id="2" name="Picture 2"/>
            <wp:cNvGraphicFramePr>
              <a:graphicFrameLocks noChangeAspect="1"/>
            </wp:cNvGraphicFramePr>
            <a:graphic>
              <a:graphicData uri="http://schemas.openxmlformats.org/drawingml/2006/picture">
                <pic:pic>
                  <pic:nvPicPr>
                    <pic:cNvPr id="0" name="IMG_0091.jpeg"/>
                    <pic:cNvPicPr/>
                  </pic:nvPicPr>
                  <pic:blipFill>
                    <a:blip r:embed="rId11"/>
                    <a:stretch>
                      <a:fillRect/>
                    </a:stretch>
                  </pic:blipFill>
                  <pic:spPr>
                    <a:xfrm>
                      <a:off x="0" y="0"/>
                      <a:ext cx="2808000" cy="2115542"/>
                    </a:xfrm>
                    <a:prstGeom prst="rect"/>
                  </pic:spPr>
                </pic:pic>
              </a:graphicData>
            </a:graphic>
          </wp:inline>
        </w:drawing>
      </w:r>
    </w:p>
    <w:p>
      <w:pPr>
        <w:jc w:val="center"/>
      </w:pPr>
      <w:r>
        <w:rPr>
          <w:i/>
          <w:color w:val="6C757A"/>
          <w:sz w:val="16"/>
        </w:rPr>
        <w:t>Illustrative anaesthesia workstation</w:t>
      </w:r>
    </w:p>
    <w:p>
      <w:pPr>
        <w:pStyle w:val="Heading2"/>
      </w:pPr>
      <w:r>
        <w:t>Anaesthesia Workstations – 2 Units | ₹20,00,000</w:t>
      </w:r>
    </w:p>
    <w:p>
      <w:r>
        <w:t>The anaesthesia workstation is the central platform for delivery of anaesthetic gases, assisted or controlled ventilation, and management of the patient's airway and respiratory status during surgery. Two units support parallel theatre capability or operational redundancy, subject to the final OT configuration.</w:t>
      </w:r>
    </w:p>
    <w:p>
      <w:pPr>
        <w:pStyle w:val="Heading2"/>
      </w:pPr>
      <w:r>
        <w:t>Electric OT Tables – 2 Units | ₹6,00,000</w:t>
      </w:r>
    </w:p>
    <w:p>
      <w:r>
        <w:t>Electric OT tables allow controlled adjustment of patient position for different procedures. Reliable positioning improves surgical access and assists the anaesthesia and nursing teams in maintaining patient safety.</w:t>
      </w:r>
    </w:p>
    <w:p>
      <w:pPr>
        <w:pStyle w:val="Heading2"/>
      </w:pPr>
      <w:r>
        <w:t>Multipara Monitors | ₹7,20,000</w:t>
      </w:r>
    </w:p>
    <w:p>
      <w:r>
        <w:t>Multipara monitors provide continuous physiological information such as ECG, heart rate, non-invasive blood pressure and oxygen saturation. They enable early recognition of deterioration throughout anaesthesia and surgery.</w:t>
      </w:r>
    </w:p>
    <w:p>
      <w:pPr>
        <w:pStyle w:val="Heading2"/>
      </w:pPr>
      <w:r>
        <w:t>Recommended Technical Procurement Points</w:t>
      </w:r>
    </w:p>
    <w:p>
      <w:pPr>
        <w:ind w:left="227" w:hanging="113"/>
      </w:pPr>
      <w:r>
        <w:rPr>
          <w:b/>
          <w:color w:val="2F7F7A"/>
        </w:rPr>
        <w:t xml:space="preserve">• </w:t>
      </w:r>
      <w:r>
        <w:t>Compatibility with the hospital's electrical and medical-gas infrastructure.</w:t>
      </w:r>
    </w:p>
    <w:p>
      <w:pPr>
        <w:ind w:left="227" w:hanging="113"/>
      </w:pPr>
      <w:r>
        <w:rPr>
          <w:b/>
          <w:color w:val="2F7F7A"/>
        </w:rPr>
        <w:t xml:space="preserve">• </w:t>
      </w:r>
      <w:r>
        <w:t>Clearly defined monitored parameters and anaesthesia modules.</w:t>
      </w:r>
    </w:p>
    <w:p>
      <w:pPr>
        <w:ind w:left="227" w:hanging="113"/>
      </w:pPr>
      <w:r>
        <w:rPr>
          <w:b/>
          <w:color w:val="2F7F7A"/>
        </w:rPr>
        <w:t xml:space="preserve">• </w:t>
      </w:r>
      <w:r>
        <w:t>Availability of local service support, preventive maintenance and spare parts.</w:t>
      </w:r>
    </w:p>
    <w:p>
      <w:pPr>
        <w:ind w:left="227" w:hanging="113"/>
      </w:pPr>
      <w:r>
        <w:rPr>
          <w:b/>
          <w:color w:val="2F7F7A"/>
        </w:rPr>
        <w:t xml:space="preserve">• </w:t>
      </w:r>
      <w:r>
        <w:t>Battery backup and alarm performance appropriate to peri-operative use.</w:t>
      </w:r>
    </w:p>
    <w:p>
      <w:pPr>
        <w:ind w:left="227" w:hanging="113"/>
      </w:pPr>
      <w:r>
        <w:rPr>
          <w:b/>
          <w:color w:val="2F7F7A"/>
        </w:rPr>
        <w:t xml:space="preserve">• </w:t>
      </w:r>
      <w:r>
        <w:t>User training for anaesthesia, nursing and biomedical personnel.</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SURGICAL FIELD &amp; PROCEDURE SUPPORT</w:t>
      </w:r>
    </w:p>
    <w:p>
      <w:pPr>
        <w:spacing w:after="140"/>
        <w:pBdr>
          <w:bottom w:val="single" w:sz="12" w:space="1" w:color="2F7F7A"/>
        </w:pBdr>
      </w:pPr>
    </w:p>
    <w:p>
      <w:pPr>
        <w:jc w:val="center"/>
      </w:pPr>
      <w:r>
        <w:drawing>
          <wp:inline xmlns:a="http://schemas.openxmlformats.org/drawingml/2006/main" xmlns:pic="http://schemas.openxmlformats.org/drawingml/2006/picture">
            <wp:extent cx="3888000" cy="3888000"/>
            <wp:docPr id="3" name="Picture 3"/>
            <wp:cNvGraphicFramePr>
              <a:graphicFrameLocks noChangeAspect="1"/>
            </wp:cNvGraphicFramePr>
            <a:graphic>
              <a:graphicData uri="http://schemas.openxmlformats.org/drawingml/2006/picture">
                <pic:pic>
                  <pic:nvPicPr>
                    <pic:cNvPr id="0" name="IMG_0075.jpeg"/>
                    <pic:cNvPicPr/>
                  </pic:nvPicPr>
                  <pic:blipFill>
                    <a:blip r:embed="rId12"/>
                    <a:stretch>
                      <a:fillRect/>
                    </a:stretch>
                  </pic:blipFill>
                  <pic:spPr>
                    <a:xfrm>
                      <a:off x="0" y="0"/>
                      <a:ext cx="3888000" cy="3888000"/>
                    </a:xfrm>
                    <a:prstGeom prst="rect"/>
                  </pic:spPr>
                </pic:pic>
              </a:graphicData>
            </a:graphic>
          </wp:inline>
        </w:drawing>
      </w:r>
    </w:p>
    <w:p>
      <w:pPr>
        <w:jc w:val="center"/>
      </w:pPr>
      <w:r>
        <w:rPr>
          <w:i/>
          <w:color w:val="6C757A"/>
          <w:sz w:val="16"/>
        </w:rPr>
        <w:t>Illustrative operation theatre with surgical lights, table and supporting systems</w:t>
      </w:r>
    </w:p>
    <w:p>
      <w:pPr>
        <w:pStyle w:val="Heading2"/>
      </w:pPr>
      <w:r>
        <w:t>LED OT Lights – 2 Units | ₹5,00,000</w:t>
      </w:r>
    </w:p>
    <w:p>
      <w:r>
        <w:t>Modern LED surgical lights are designed to provide bright, consistent illumination with reduced shadowing over the operative field. Appropriate lighting is fundamental to surgical visibility and precision.</w:t>
      </w:r>
    </w:p>
    <w:p>
      <w:pPr>
        <w:pStyle w:val="Heading2"/>
      </w:pPr>
      <w:r>
        <w:t>Electrocautery Unit | ₹3,00,000</w:t>
      </w:r>
    </w:p>
    <w:p>
      <w:r>
        <w:t>Electrosurgical equipment assists tissue cutting and coagulation and is commonly used to control bleeding during surgery. Final specification should match the expected surgical case mix and applicable safety standards.</w:t>
      </w:r>
    </w:p>
    <w:p>
      <w:pPr>
        <w:pStyle w:val="Heading2"/>
      </w:pPr>
      <w:r>
        <w:t>Suction Machines | ₹1,00,000</w:t>
      </w:r>
    </w:p>
    <w:p>
      <w:r>
        <w:t>Suction systems remove blood and other fluids from the operative field and support selected airway and procedure requirements. Reliable suction contributes to visibility and procedural efficiency.</w:t>
      </w:r>
    </w:p>
    <w:p>
      <w:pPr>
        <w:pStyle w:val="Heading2"/>
      </w:pPr>
      <w:r>
        <w:t>Laparoscopic Instrument Sets | ₹9,60,000</w:t>
      </w:r>
    </w:p>
    <w:p>
      <w:r>
        <w:t>Laparoscopic instruments provide the access and working tools required for selected minimally invasive procedures. Where clinically appropriate, minimally invasive surgery may support smaller incisions and faster recovery compared with open approaches.</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IMAGE-GUIDED &amp; PRECISION SURGERY</w:t>
      </w:r>
    </w:p>
    <w:p>
      <w:pPr>
        <w:spacing w:after="140"/>
        <w:pBdr>
          <w:bottom w:val="single" w:sz="12" w:space="1" w:color="2F7F7A"/>
        </w:pBdr>
      </w:pPr>
    </w:p>
    <w:p>
      <w:pPr>
        <w:jc w:val="center"/>
      </w:pPr>
      <w:r>
        <w:drawing>
          <wp:inline xmlns:a="http://schemas.openxmlformats.org/drawingml/2006/main" xmlns:pic="http://schemas.openxmlformats.org/drawingml/2006/picture">
            <wp:extent cx="3168000" cy="3168000"/>
            <wp:docPr id="4" name="Picture 4"/>
            <wp:cNvGraphicFramePr>
              <a:graphicFrameLocks noChangeAspect="1"/>
            </wp:cNvGraphicFramePr>
            <a:graphic>
              <a:graphicData uri="http://schemas.openxmlformats.org/drawingml/2006/picture">
                <pic:pic>
                  <pic:nvPicPr>
                    <pic:cNvPr id="0" name="IMG_0076.jpeg"/>
                    <pic:cNvPicPr/>
                  </pic:nvPicPr>
                  <pic:blipFill>
                    <a:blip r:embed="rId13"/>
                    <a:stretch>
                      <a:fillRect/>
                    </a:stretch>
                  </pic:blipFill>
                  <pic:spPr>
                    <a:xfrm>
                      <a:off x="0" y="0"/>
                      <a:ext cx="3168000" cy="3168000"/>
                    </a:xfrm>
                    <a:prstGeom prst="rect"/>
                  </pic:spPr>
                </pic:pic>
              </a:graphicData>
            </a:graphic>
          </wp:inline>
        </w:drawing>
      </w:r>
    </w:p>
    <w:p>
      <w:pPr>
        <w:jc w:val="center"/>
      </w:pPr>
      <w:r>
        <w:rPr>
          <w:i/>
          <w:color w:val="6C757A"/>
          <w:sz w:val="16"/>
        </w:rPr>
        <w:t>Illustrative mobile C-Arm imaging system</w:t>
      </w:r>
    </w:p>
    <w:p>
      <w:pPr>
        <w:pStyle w:val="Heading2"/>
      </w:pPr>
      <w:r>
        <w:t>C-Arm Imaging System – 1 Unit | ₹15,00,000</w:t>
      </w:r>
    </w:p>
    <w:p>
      <w:r>
        <w:t>The C-Arm provides real-time fluoroscopic imaging inside or adjacent to the operating theatre. It is particularly valuable for orthopaedic trauma, fracture fixation and other procedures where image guidance can assist positioning and decision-making.</w:t>
      </w:r>
    </w:p>
    <w:p>
      <w:pPr>
        <w:ind w:left="227" w:hanging="113"/>
      </w:pPr>
      <w:r>
        <w:rPr>
          <w:b/>
          <w:color w:val="2F7F7A"/>
        </w:rPr>
        <w:t xml:space="preserve">• </w:t>
      </w:r>
      <w:r>
        <w:t>Orthopaedic fracture reduction and fixation support</w:t>
      </w:r>
    </w:p>
    <w:p>
      <w:pPr>
        <w:ind w:left="227" w:hanging="113"/>
      </w:pPr>
      <w:r>
        <w:rPr>
          <w:b/>
          <w:color w:val="2F7F7A"/>
        </w:rPr>
        <w:t xml:space="preserve">• </w:t>
      </w:r>
      <w:r>
        <w:t>Trauma procedures requiring real-time imaging</w:t>
      </w:r>
    </w:p>
    <w:p>
      <w:pPr>
        <w:ind w:left="227" w:hanging="113"/>
      </w:pPr>
      <w:r>
        <w:rPr>
          <w:b/>
          <w:color w:val="2F7F7A"/>
        </w:rPr>
        <w:t xml:space="preserve">• </w:t>
      </w:r>
      <w:r>
        <w:t>Selected image-guided interventions</w:t>
      </w:r>
    </w:p>
    <w:p>
      <w:pPr>
        <w:ind w:left="227" w:hanging="113"/>
      </w:pPr>
      <w:r>
        <w:rPr>
          <w:b/>
          <w:color w:val="2F7F7A"/>
        </w:rPr>
        <w:t xml:space="preserve">• </w:t>
      </w:r>
      <w:r>
        <w:t>Improved intra-operative visual confirmation where clinically indicated</w:t>
      </w:r>
    </w:p>
    <w:p>
      <w:pPr>
        <w:pStyle w:val="Heading2"/>
      </w:pPr>
      <w:r>
        <w:t>Operating Microscope – 1 Unit | ₹5,00,000</w:t>
      </w:r>
    </w:p>
    <w:p>
      <w:r>
        <w:t>An operating microscope provides magnified and illuminated visualisation for procedures that require greater precision. The final specification should be matched to the intended specialties and case mix.</w:t>
      </w:r>
    </w:p>
    <w:p>
      <w:pPr>
        <w:pStyle w:val="Heading2"/>
      </w:pPr>
      <w:r>
        <w:t>Radiation &amp; Workflow Note</w:t>
      </w:r>
    </w:p>
    <w:p>
      <w:r>
        <w:t>C-Arm use requires appropriate radiation-safety processes, trained operators, protective equipment and compliance with applicable regulatory requirements. These infrastructure and licensing requirements should be confirmed before commissioning.</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SURGICAL INSTRUMENTS &amp; STERILISATION</w:t>
      </w:r>
    </w:p>
    <w:p>
      <w:pPr>
        <w:spacing w:after="140"/>
        <w:pBdr>
          <w:bottom w:val="single" w:sz="12" w:space="1" w:color="2F7F7A"/>
        </w:pBdr>
      </w:pPr>
    </w:p>
    <w:p>
      <w:pPr>
        <w:pStyle w:val="Heading2"/>
      </w:pPr>
      <w:r>
        <w:t>Orthopaedic &amp; General Surgery Instrument Sets | ₹10,00,000</w:t>
      </w:r>
    </w:p>
    <w:p>
      <w:r>
        <w:t>Instrument sets provide the core reusable tools required for routine and emergency general and orthopaedic surgery. A well-planned inventory should reflect the hospital's initial case mix while allowing safe rotation between use, cleaning and sterilisation.</w:t>
      </w:r>
    </w:p>
    <w:p>
      <w:pPr>
        <w:pStyle w:val="Heading2"/>
      </w:pPr>
      <w:r>
        <w:t>Autoclave &amp; ETO Sterilisation Unit | ₹5,00,000</w:t>
      </w:r>
    </w:p>
    <w:p>
      <w:r>
        <w:t>Sterilisation is a critical patient-safety function. Steam autoclaving is used for many reusable heat-tolerant instruments, while ethylene oxide (ETO) processing may be used for selected heat- or moisture-sensitive items where appropriate and where regulatory and occupational-safety requirements are met.</w:t>
      </w:r>
    </w:p>
    <w:p>
      <w:pPr>
        <w:pStyle w:val="Heading2"/>
      </w:pPr>
      <w:r>
        <w:t>Essential Planning Considerations</w:t>
      </w:r>
    </w:p>
    <w:p>
      <w:pPr>
        <w:ind w:left="227" w:hanging="113"/>
      </w:pPr>
      <w:r>
        <w:rPr>
          <w:b/>
          <w:color w:val="2F7F7A"/>
        </w:rPr>
        <w:t xml:space="preserve">• </w:t>
      </w:r>
      <w:r>
        <w:t>Define dirty-to-clean instrument flow and avoid cross-contamination.</w:t>
      </w:r>
    </w:p>
    <w:p>
      <w:pPr>
        <w:ind w:left="227" w:hanging="113"/>
      </w:pPr>
      <w:r>
        <w:rPr>
          <w:b/>
          <w:color w:val="2F7F7A"/>
        </w:rPr>
        <w:t xml:space="preserve">• </w:t>
      </w:r>
      <w:r>
        <w:t>Separate decontamination, packing, sterilisation and sterile-storage steps where feasible.</w:t>
      </w:r>
    </w:p>
    <w:p>
      <w:pPr>
        <w:ind w:left="227" w:hanging="113"/>
      </w:pPr>
      <w:r>
        <w:rPr>
          <w:b/>
          <w:color w:val="2F7F7A"/>
        </w:rPr>
        <w:t xml:space="preserve">• </w:t>
      </w:r>
      <w:r>
        <w:t>Document sterilisation cycles, validation and maintenance.</w:t>
      </w:r>
    </w:p>
    <w:p>
      <w:pPr>
        <w:ind w:left="227" w:hanging="113"/>
      </w:pPr>
      <w:r>
        <w:rPr>
          <w:b/>
          <w:color w:val="2F7F7A"/>
        </w:rPr>
        <w:t xml:space="preserve">• </w:t>
      </w:r>
      <w:r>
        <w:t>Ensure staff training and occupational-safety procedures, particularly for ETO.</w:t>
      </w:r>
    </w:p>
    <w:p>
      <w:pPr>
        <w:ind w:left="227" w:hanging="113"/>
      </w:pPr>
      <w:r>
        <w:rPr>
          <w:b/>
          <w:color w:val="2F7F7A"/>
        </w:rPr>
        <w:t xml:space="preserve">• </w:t>
      </w:r>
      <w:r>
        <w:t>Maintain instrument traceability and a preventive-maintenance schedule.</w:t>
      </w:r>
    </w:p>
    <w:tbl>
      <w:tblPr>
        <w:tblW w:type="auto" w:w="0"/>
        <w:jc w:val="center"/>
        <w:tblLook w:firstColumn="1" w:firstRow="1" w:lastColumn="0" w:lastRow="0" w:noHBand="0" w:noVBand="1" w:val="04A0"/>
      </w:tblPr>
      <w:tblGrid>
        <w:gridCol w:w="10540"/>
      </w:tblGrid>
      <w:tr>
        <w:tc>
          <w:tcPr>
            <w:tcW w:type="dxa" w:w="10540"/>
            <w:shd w:fill="EAF4F3"/>
            <w:tcMar>
              <w:top w:w="115" w:type="dxa"/>
              <w:start w:w="160" w:type="dxa"/>
              <w:bottom w:w="115" w:type="dxa"/>
              <w:end w:w="160" w:type="dxa"/>
            </w:tcMar>
          </w:tcPr>
          <w:p>
            <w:pPr>
              <w:jc w:val="center"/>
            </w:pPr>
            <w:r>
              <w:rPr>
                <w:b/>
                <w:i/>
                <w:color w:val="123E56"/>
                <w:sz w:val="24"/>
              </w:rPr>
              <w:t>“Sterilisation is not an accessory to surgery; it is part of the surgery safety system.”</w:t>
            </w:r>
          </w:p>
        </w:tc>
      </w:tr>
    </w:tbl>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EQUIPMENT-WISE CLINICAL VALUE</w:t>
      </w:r>
    </w:p>
    <w:p>
      <w:pPr>
        <w:spacing w:after="140"/>
        <w:pBdr>
          <w:bottom w:val="single" w:sz="12" w:space="1" w:color="2F7F7A"/>
        </w:pBdr>
      </w:pPr>
    </w:p>
    <w:tbl>
      <w:tblPr>
        <w:tblStyle w:val="TableGrid"/>
        <w:tblW w:type="auto" w:w="0"/>
        <w:jc w:val="center"/>
        <w:tblLayout w:type="fixed"/>
        <w:tblLook w:firstColumn="1" w:firstRow="1" w:lastColumn="0" w:lastRow="0" w:noHBand="0" w:noVBand="1" w:val="04A0"/>
      </w:tblPr>
      <w:tblGrid>
        <w:gridCol w:w="2948"/>
        <w:gridCol w:w="1020"/>
        <w:gridCol w:w="1701"/>
        <w:gridCol w:w="3685"/>
      </w:tblGrid>
      <w:tr>
        <w:trPr>
          <w:tblHeader w:val="true"/>
        </w:trPr>
        <w:tc>
          <w:tcPr>
            <w:tcW w:type="dxa" w:w="2635"/>
            <w:shd w:fill="123E56"/>
            <w:tcMar>
              <w:top w:w="80" w:type="dxa"/>
              <w:start w:w="90" w:type="dxa"/>
              <w:bottom w:w="80" w:type="dxa"/>
              <w:end w:w="90" w:type="dxa"/>
            </w:tcMar>
          </w:tcPr>
          <w:p>
            <w:r>
              <w:rPr>
                <w:b/>
                <w:color w:val="FFFFFF"/>
                <w:sz w:val="15"/>
              </w:rPr>
              <w:t>Equipment</w:t>
            </w:r>
          </w:p>
        </w:tc>
        <w:tc>
          <w:tcPr>
            <w:tcW w:type="dxa" w:w="2635"/>
            <w:shd w:fill="123E56"/>
            <w:tcMar>
              <w:top w:w="80" w:type="dxa"/>
              <w:start w:w="90" w:type="dxa"/>
              <w:bottom w:w="80" w:type="dxa"/>
              <w:end w:w="90" w:type="dxa"/>
            </w:tcMar>
          </w:tcPr>
          <w:p>
            <w:r>
              <w:rPr>
                <w:b/>
                <w:color w:val="FFFFFF"/>
                <w:sz w:val="15"/>
              </w:rPr>
              <w:t>Qty</w:t>
            </w:r>
          </w:p>
        </w:tc>
        <w:tc>
          <w:tcPr>
            <w:tcW w:type="dxa" w:w="2635"/>
            <w:shd w:fill="123E56"/>
            <w:tcMar>
              <w:top w:w="80" w:type="dxa"/>
              <w:start w:w="90" w:type="dxa"/>
              <w:bottom w:w="80" w:type="dxa"/>
              <w:end w:w="90" w:type="dxa"/>
            </w:tcMar>
          </w:tcPr>
          <w:p>
            <w:r>
              <w:rPr>
                <w:b/>
                <w:color w:val="FFFFFF"/>
                <w:sz w:val="15"/>
              </w:rPr>
              <w:t>Allocation</w:t>
            </w:r>
          </w:p>
        </w:tc>
        <w:tc>
          <w:tcPr>
            <w:tcW w:type="dxa" w:w="2635"/>
            <w:shd w:fill="123E56"/>
            <w:tcMar>
              <w:top w:w="80" w:type="dxa"/>
              <w:start w:w="90" w:type="dxa"/>
              <w:bottom w:w="80" w:type="dxa"/>
              <w:end w:w="90" w:type="dxa"/>
            </w:tcMar>
          </w:tcPr>
          <w:p>
            <w:r>
              <w:rPr>
                <w:b/>
                <w:color w:val="FFFFFF"/>
                <w:sz w:val="15"/>
              </w:rPr>
              <w:t>Clinical Use / Value</w:t>
            </w:r>
          </w:p>
        </w:tc>
      </w:tr>
      <w:tr>
        <w:tc>
          <w:tcPr>
            <w:tcW w:type="dxa" w:w="2948"/>
            <w:shd w:fill="F5F8F9"/>
            <w:vAlign w:val="center"/>
            <w:tcMar>
              <w:top w:w="65" w:type="dxa"/>
              <w:start w:w="85" w:type="dxa"/>
              <w:bottom w:w="65" w:type="dxa"/>
              <w:end w:w="85" w:type="dxa"/>
            </w:tcMar>
          </w:tcPr>
          <w:p>
            <w:r>
              <w:rPr>
                <w:b/>
                <w:color w:val="123E56"/>
                <w:sz w:val="15"/>
              </w:rPr>
              <w:t>Anaesthesia Workstations</w:t>
            </w:r>
          </w:p>
        </w:tc>
        <w:tc>
          <w:tcPr>
            <w:tcW w:type="dxa" w:w="1020"/>
            <w:shd w:fill="F5F8F9"/>
            <w:vAlign w:val="center"/>
            <w:tcMar>
              <w:top w:w="65" w:type="dxa"/>
              <w:start w:w="85" w:type="dxa"/>
              <w:bottom w:w="65" w:type="dxa"/>
              <w:end w:w="85" w:type="dxa"/>
            </w:tcMar>
          </w:tcPr>
          <w:p>
            <w:r>
              <w:rPr>
                <w:color w:val="253238"/>
                <w:sz w:val="15"/>
              </w:rPr>
              <w:t>2 Units</w:t>
            </w:r>
          </w:p>
        </w:tc>
        <w:tc>
          <w:tcPr>
            <w:tcW w:type="dxa" w:w="1701"/>
            <w:shd w:fill="F5F8F9"/>
            <w:vAlign w:val="center"/>
            <w:tcMar>
              <w:top w:w="65" w:type="dxa"/>
              <w:start w:w="85" w:type="dxa"/>
              <w:bottom w:w="65" w:type="dxa"/>
              <w:end w:w="85" w:type="dxa"/>
            </w:tcMar>
          </w:tcPr>
          <w:p>
            <w:r>
              <w:rPr>
                <w:color w:val="253238"/>
                <w:sz w:val="15"/>
              </w:rPr>
              <w:t>₹20,00,000</w:t>
            </w:r>
          </w:p>
        </w:tc>
        <w:tc>
          <w:tcPr>
            <w:tcW w:type="dxa" w:w="3685"/>
            <w:shd w:fill="F5F8F9"/>
            <w:vAlign w:val="center"/>
            <w:tcMar>
              <w:top w:w="65" w:type="dxa"/>
              <w:start w:w="85" w:type="dxa"/>
              <w:bottom w:w="65" w:type="dxa"/>
              <w:end w:w="85" w:type="dxa"/>
            </w:tcMar>
          </w:tcPr>
          <w:p>
            <w:r>
              <w:rPr>
                <w:color w:val="253238"/>
                <w:sz w:val="15"/>
              </w:rPr>
              <w:t>Controlled anaesthesia delivery, ventilation and intra-operative support.</w:t>
            </w:r>
          </w:p>
        </w:tc>
      </w:tr>
      <w:tr>
        <w:tc>
          <w:tcPr>
            <w:tcW w:type="dxa" w:w="2948"/>
            <w:vAlign w:val="center"/>
            <w:tcMar>
              <w:top w:w="65" w:type="dxa"/>
              <w:start w:w="85" w:type="dxa"/>
              <w:bottom w:w="65" w:type="dxa"/>
              <w:end w:w="85" w:type="dxa"/>
            </w:tcMar>
          </w:tcPr>
          <w:p>
            <w:r>
              <w:rPr>
                <w:b/>
                <w:color w:val="123E56"/>
                <w:sz w:val="15"/>
              </w:rPr>
              <w:t>Electric OT Tables</w:t>
            </w:r>
          </w:p>
        </w:tc>
        <w:tc>
          <w:tcPr>
            <w:tcW w:type="dxa" w:w="1020"/>
            <w:vAlign w:val="center"/>
            <w:tcMar>
              <w:top w:w="65" w:type="dxa"/>
              <w:start w:w="85" w:type="dxa"/>
              <w:bottom w:w="65" w:type="dxa"/>
              <w:end w:w="85" w:type="dxa"/>
            </w:tcMar>
          </w:tcPr>
          <w:p>
            <w:r>
              <w:rPr>
                <w:color w:val="253238"/>
                <w:sz w:val="15"/>
              </w:rPr>
              <w:t>2 Units</w:t>
            </w:r>
          </w:p>
        </w:tc>
        <w:tc>
          <w:tcPr>
            <w:tcW w:type="dxa" w:w="1701"/>
            <w:vAlign w:val="center"/>
            <w:tcMar>
              <w:top w:w="65" w:type="dxa"/>
              <w:start w:w="85" w:type="dxa"/>
              <w:bottom w:w="65" w:type="dxa"/>
              <w:end w:w="85" w:type="dxa"/>
            </w:tcMar>
          </w:tcPr>
          <w:p>
            <w:r>
              <w:rPr>
                <w:color w:val="253238"/>
                <w:sz w:val="15"/>
              </w:rPr>
              <w:t>₹6,00,000</w:t>
            </w:r>
          </w:p>
        </w:tc>
        <w:tc>
          <w:tcPr>
            <w:tcW w:type="dxa" w:w="3685"/>
            <w:vAlign w:val="center"/>
            <w:tcMar>
              <w:top w:w="65" w:type="dxa"/>
              <w:start w:w="85" w:type="dxa"/>
              <w:bottom w:w="65" w:type="dxa"/>
              <w:end w:w="85" w:type="dxa"/>
            </w:tcMar>
          </w:tcPr>
          <w:p>
            <w:r>
              <w:rPr>
                <w:color w:val="253238"/>
                <w:sz w:val="15"/>
              </w:rPr>
              <w:t>Safe and precise positioning for general, orthopaedic and other surgical procedures.</w:t>
            </w:r>
          </w:p>
        </w:tc>
      </w:tr>
      <w:tr>
        <w:tc>
          <w:tcPr>
            <w:tcW w:type="dxa" w:w="2948"/>
            <w:shd w:fill="F5F8F9"/>
            <w:vAlign w:val="center"/>
            <w:tcMar>
              <w:top w:w="65" w:type="dxa"/>
              <w:start w:w="85" w:type="dxa"/>
              <w:bottom w:w="65" w:type="dxa"/>
              <w:end w:w="85" w:type="dxa"/>
            </w:tcMar>
          </w:tcPr>
          <w:p>
            <w:r>
              <w:rPr>
                <w:b/>
                <w:color w:val="123E56"/>
                <w:sz w:val="15"/>
              </w:rPr>
              <w:t>LED OT Lights</w:t>
            </w:r>
          </w:p>
        </w:tc>
        <w:tc>
          <w:tcPr>
            <w:tcW w:type="dxa" w:w="1020"/>
            <w:shd w:fill="F5F8F9"/>
            <w:vAlign w:val="center"/>
            <w:tcMar>
              <w:top w:w="65" w:type="dxa"/>
              <w:start w:w="85" w:type="dxa"/>
              <w:bottom w:w="65" w:type="dxa"/>
              <w:end w:w="85" w:type="dxa"/>
            </w:tcMar>
          </w:tcPr>
          <w:p>
            <w:r>
              <w:rPr>
                <w:color w:val="253238"/>
                <w:sz w:val="15"/>
              </w:rPr>
              <w:t>2 Units</w:t>
            </w:r>
          </w:p>
        </w:tc>
        <w:tc>
          <w:tcPr>
            <w:tcW w:type="dxa" w:w="1701"/>
            <w:shd w:fill="F5F8F9"/>
            <w:vAlign w:val="center"/>
            <w:tcMar>
              <w:top w:w="65" w:type="dxa"/>
              <w:start w:w="85" w:type="dxa"/>
              <w:bottom w:w="65" w:type="dxa"/>
              <w:end w:w="85" w:type="dxa"/>
            </w:tcMar>
          </w:tcPr>
          <w:p>
            <w:r>
              <w:rPr>
                <w:color w:val="253238"/>
                <w:sz w:val="15"/>
              </w:rPr>
              <w:t>₹5,00,000</w:t>
            </w:r>
          </w:p>
        </w:tc>
        <w:tc>
          <w:tcPr>
            <w:tcW w:type="dxa" w:w="3685"/>
            <w:shd w:fill="F5F8F9"/>
            <w:vAlign w:val="center"/>
            <w:tcMar>
              <w:top w:w="65" w:type="dxa"/>
              <w:start w:w="85" w:type="dxa"/>
              <w:bottom w:w="65" w:type="dxa"/>
              <w:end w:w="85" w:type="dxa"/>
            </w:tcMar>
          </w:tcPr>
          <w:p>
            <w:r>
              <w:rPr>
                <w:color w:val="253238"/>
                <w:sz w:val="15"/>
              </w:rPr>
              <w:t>High-intensity, shadow-reduced illumination of the operative field.</w:t>
            </w:r>
          </w:p>
        </w:tc>
      </w:tr>
      <w:tr>
        <w:tc>
          <w:tcPr>
            <w:tcW w:type="dxa" w:w="2948"/>
            <w:vAlign w:val="center"/>
            <w:tcMar>
              <w:top w:w="65" w:type="dxa"/>
              <w:start w:w="85" w:type="dxa"/>
              <w:bottom w:w="65" w:type="dxa"/>
              <w:end w:w="85" w:type="dxa"/>
            </w:tcMar>
          </w:tcPr>
          <w:p>
            <w:r>
              <w:rPr>
                <w:b/>
                <w:color w:val="123E56"/>
                <w:sz w:val="15"/>
              </w:rPr>
              <w:t>Electrocautery Unit</w:t>
            </w:r>
          </w:p>
        </w:tc>
        <w:tc>
          <w:tcPr>
            <w:tcW w:type="dxa" w:w="1020"/>
            <w:vAlign w:val="center"/>
            <w:tcMar>
              <w:top w:w="65" w:type="dxa"/>
              <w:start w:w="85" w:type="dxa"/>
              <w:bottom w:w="65" w:type="dxa"/>
              <w:end w:w="85" w:type="dxa"/>
            </w:tcMar>
          </w:tcPr>
          <w:p>
            <w:r>
              <w:rPr>
                <w:color w:val="253238"/>
                <w:sz w:val="15"/>
              </w:rPr>
              <w:t>1 Unit</w:t>
            </w:r>
          </w:p>
        </w:tc>
        <w:tc>
          <w:tcPr>
            <w:tcW w:type="dxa" w:w="1701"/>
            <w:vAlign w:val="center"/>
            <w:tcMar>
              <w:top w:w="65" w:type="dxa"/>
              <w:start w:w="85" w:type="dxa"/>
              <w:bottom w:w="65" w:type="dxa"/>
              <w:end w:w="85" w:type="dxa"/>
            </w:tcMar>
          </w:tcPr>
          <w:p>
            <w:r>
              <w:rPr>
                <w:color w:val="253238"/>
                <w:sz w:val="15"/>
              </w:rPr>
              <w:t>₹3,00,000</w:t>
            </w:r>
          </w:p>
        </w:tc>
        <w:tc>
          <w:tcPr>
            <w:tcW w:type="dxa" w:w="3685"/>
            <w:vAlign w:val="center"/>
            <w:tcMar>
              <w:top w:w="65" w:type="dxa"/>
              <w:start w:w="85" w:type="dxa"/>
              <w:bottom w:w="65" w:type="dxa"/>
              <w:end w:w="85" w:type="dxa"/>
            </w:tcMar>
          </w:tcPr>
          <w:p>
            <w:r>
              <w:rPr>
                <w:color w:val="253238"/>
                <w:sz w:val="15"/>
              </w:rPr>
              <w:t>Tissue cutting and coagulation to support haemostasis during surgery.</w:t>
            </w:r>
          </w:p>
        </w:tc>
      </w:tr>
      <w:tr>
        <w:tc>
          <w:tcPr>
            <w:tcW w:type="dxa" w:w="2948"/>
            <w:shd w:fill="F5F8F9"/>
            <w:vAlign w:val="center"/>
            <w:tcMar>
              <w:top w:w="65" w:type="dxa"/>
              <w:start w:w="85" w:type="dxa"/>
              <w:bottom w:w="65" w:type="dxa"/>
              <w:end w:w="85" w:type="dxa"/>
            </w:tcMar>
          </w:tcPr>
          <w:p>
            <w:r>
              <w:rPr>
                <w:b/>
                <w:color w:val="123E56"/>
                <w:sz w:val="15"/>
              </w:rPr>
              <w:t>Suction Machines</w:t>
            </w:r>
          </w:p>
        </w:tc>
        <w:tc>
          <w:tcPr>
            <w:tcW w:type="dxa" w:w="1020"/>
            <w:shd w:fill="F5F8F9"/>
            <w:vAlign w:val="center"/>
            <w:tcMar>
              <w:top w:w="65" w:type="dxa"/>
              <w:start w:w="85" w:type="dxa"/>
              <w:bottom w:w="65" w:type="dxa"/>
              <w:end w:w="85" w:type="dxa"/>
            </w:tcMar>
          </w:tcPr>
          <w:p>
            <w:r>
              <w:rPr>
                <w:color w:val="253238"/>
                <w:sz w:val="15"/>
              </w:rPr>
              <w:t>—</w:t>
            </w:r>
          </w:p>
        </w:tc>
        <w:tc>
          <w:tcPr>
            <w:tcW w:type="dxa" w:w="1701"/>
            <w:shd w:fill="F5F8F9"/>
            <w:vAlign w:val="center"/>
            <w:tcMar>
              <w:top w:w="65" w:type="dxa"/>
              <w:start w:w="85" w:type="dxa"/>
              <w:bottom w:w="65" w:type="dxa"/>
              <w:end w:w="85" w:type="dxa"/>
            </w:tcMar>
          </w:tcPr>
          <w:p>
            <w:r>
              <w:rPr>
                <w:color w:val="253238"/>
                <w:sz w:val="15"/>
              </w:rPr>
              <w:t>₹1,00,000</w:t>
            </w:r>
          </w:p>
        </w:tc>
        <w:tc>
          <w:tcPr>
            <w:tcW w:type="dxa" w:w="3685"/>
            <w:shd w:fill="F5F8F9"/>
            <w:vAlign w:val="center"/>
            <w:tcMar>
              <w:top w:w="65" w:type="dxa"/>
              <w:start w:w="85" w:type="dxa"/>
              <w:bottom w:w="65" w:type="dxa"/>
              <w:end w:w="85" w:type="dxa"/>
            </w:tcMar>
          </w:tcPr>
          <w:p>
            <w:r>
              <w:rPr>
                <w:color w:val="253238"/>
                <w:sz w:val="15"/>
              </w:rPr>
              <w:t>Removal of blood and fluids to maintain visibility and airway/procedure support.</w:t>
            </w:r>
          </w:p>
        </w:tc>
      </w:tr>
      <w:tr>
        <w:tc>
          <w:tcPr>
            <w:tcW w:type="dxa" w:w="2948"/>
            <w:vAlign w:val="center"/>
            <w:tcMar>
              <w:top w:w="65" w:type="dxa"/>
              <w:start w:w="85" w:type="dxa"/>
              <w:bottom w:w="65" w:type="dxa"/>
              <w:end w:w="85" w:type="dxa"/>
            </w:tcMar>
          </w:tcPr>
          <w:p>
            <w:r>
              <w:rPr>
                <w:b/>
                <w:color w:val="123E56"/>
                <w:sz w:val="15"/>
              </w:rPr>
              <w:t>Laparoscopic Instrument Sets</w:t>
            </w:r>
          </w:p>
        </w:tc>
        <w:tc>
          <w:tcPr>
            <w:tcW w:type="dxa" w:w="1020"/>
            <w:vAlign w:val="center"/>
            <w:tcMar>
              <w:top w:w="65" w:type="dxa"/>
              <w:start w:w="85" w:type="dxa"/>
              <w:bottom w:w="65" w:type="dxa"/>
              <w:end w:w="85" w:type="dxa"/>
            </w:tcMar>
          </w:tcPr>
          <w:p>
            <w:r>
              <w:rPr>
                <w:color w:val="253238"/>
                <w:sz w:val="15"/>
              </w:rPr>
              <w:t>—</w:t>
            </w:r>
          </w:p>
        </w:tc>
        <w:tc>
          <w:tcPr>
            <w:tcW w:type="dxa" w:w="1701"/>
            <w:vAlign w:val="center"/>
            <w:tcMar>
              <w:top w:w="65" w:type="dxa"/>
              <w:start w:w="85" w:type="dxa"/>
              <w:bottom w:w="65" w:type="dxa"/>
              <w:end w:w="85" w:type="dxa"/>
            </w:tcMar>
          </w:tcPr>
          <w:p>
            <w:r>
              <w:rPr>
                <w:color w:val="253238"/>
                <w:sz w:val="15"/>
              </w:rPr>
              <w:t>₹9,60,000</w:t>
            </w:r>
          </w:p>
        </w:tc>
        <w:tc>
          <w:tcPr>
            <w:tcW w:type="dxa" w:w="3685"/>
            <w:vAlign w:val="center"/>
            <w:tcMar>
              <w:top w:w="65" w:type="dxa"/>
              <w:start w:w="85" w:type="dxa"/>
              <w:bottom w:w="65" w:type="dxa"/>
              <w:end w:w="85" w:type="dxa"/>
            </w:tcMar>
          </w:tcPr>
          <w:p>
            <w:r>
              <w:rPr>
                <w:color w:val="253238"/>
                <w:sz w:val="15"/>
              </w:rPr>
              <w:t>Instruments for selected minimally invasive procedures.</w:t>
            </w:r>
          </w:p>
        </w:tc>
      </w:tr>
      <w:tr>
        <w:tc>
          <w:tcPr>
            <w:tcW w:type="dxa" w:w="2948"/>
            <w:shd w:fill="F5F8F9"/>
            <w:vAlign w:val="center"/>
            <w:tcMar>
              <w:top w:w="65" w:type="dxa"/>
              <w:start w:w="85" w:type="dxa"/>
              <w:bottom w:w="65" w:type="dxa"/>
              <w:end w:w="85" w:type="dxa"/>
            </w:tcMar>
          </w:tcPr>
          <w:p>
            <w:r>
              <w:rPr>
                <w:b/>
                <w:color w:val="123E56"/>
                <w:sz w:val="15"/>
              </w:rPr>
              <w:t>Multipara Monitors</w:t>
            </w:r>
          </w:p>
        </w:tc>
        <w:tc>
          <w:tcPr>
            <w:tcW w:type="dxa" w:w="1020"/>
            <w:shd w:fill="F5F8F9"/>
            <w:vAlign w:val="center"/>
            <w:tcMar>
              <w:top w:w="65" w:type="dxa"/>
              <w:start w:w="85" w:type="dxa"/>
              <w:bottom w:w="65" w:type="dxa"/>
              <w:end w:w="85" w:type="dxa"/>
            </w:tcMar>
          </w:tcPr>
          <w:p>
            <w:r>
              <w:rPr>
                <w:color w:val="253238"/>
                <w:sz w:val="15"/>
              </w:rPr>
              <w:t>—</w:t>
            </w:r>
          </w:p>
        </w:tc>
        <w:tc>
          <w:tcPr>
            <w:tcW w:type="dxa" w:w="1701"/>
            <w:shd w:fill="F5F8F9"/>
            <w:vAlign w:val="center"/>
            <w:tcMar>
              <w:top w:w="65" w:type="dxa"/>
              <w:start w:w="85" w:type="dxa"/>
              <w:bottom w:w="65" w:type="dxa"/>
              <w:end w:w="85" w:type="dxa"/>
            </w:tcMar>
          </w:tcPr>
          <w:p>
            <w:r>
              <w:rPr>
                <w:color w:val="253238"/>
                <w:sz w:val="15"/>
              </w:rPr>
              <w:t>₹7,20,000</w:t>
            </w:r>
          </w:p>
        </w:tc>
        <w:tc>
          <w:tcPr>
            <w:tcW w:type="dxa" w:w="3685"/>
            <w:shd w:fill="F5F8F9"/>
            <w:vAlign w:val="center"/>
            <w:tcMar>
              <w:top w:w="65" w:type="dxa"/>
              <w:start w:w="85" w:type="dxa"/>
              <w:bottom w:w="65" w:type="dxa"/>
              <w:end w:w="85" w:type="dxa"/>
            </w:tcMar>
          </w:tcPr>
          <w:p>
            <w:r>
              <w:rPr>
                <w:color w:val="253238"/>
                <w:sz w:val="15"/>
              </w:rPr>
              <w:t>Continuous ECG, SpO2, NIBP and other physiological monitoring during anaesthesia and surgery.</w:t>
            </w:r>
          </w:p>
        </w:tc>
      </w:tr>
      <w:tr>
        <w:tc>
          <w:tcPr>
            <w:tcW w:type="dxa" w:w="2948"/>
            <w:vAlign w:val="center"/>
            <w:tcMar>
              <w:top w:w="65" w:type="dxa"/>
              <w:start w:w="85" w:type="dxa"/>
              <w:bottom w:w="65" w:type="dxa"/>
              <w:end w:w="85" w:type="dxa"/>
            </w:tcMar>
          </w:tcPr>
          <w:p>
            <w:r>
              <w:rPr>
                <w:b/>
                <w:color w:val="123E56"/>
                <w:sz w:val="15"/>
              </w:rPr>
              <w:t>C-Arm Imaging System</w:t>
            </w:r>
          </w:p>
        </w:tc>
        <w:tc>
          <w:tcPr>
            <w:tcW w:type="dxa" w:w="1020"/>
            <w:vAlign w:val="center"/>
            <w:tcMar>
              <w:top w:w="65" w:type="dxa"/>
              <w:start w:w="85" w:type="dxa"/>
              <w:bottom w:w="65" w:type="dxa"/>
              <w:end w:w="85" w:type="dxa"/>
            </w:tcMar>
          </w:tcPr>
          <w:p>
            <w:r>
              <w:rPr>
                <w:color w:val="253238"/>
                <w:sz w:val="15"/>
              </w:rPr>
              <w:t>1 Unit</w:t>
            </w:r>
          </w:p>
        </w:tc>
        <w:tc>
          <w:tcPr>
            <w:tcW w:type="dxa" w:w="1701"/>
            <w:vAlign w:val="center"/>
            <w:tcMar>
              <w:top w:w="65" w:type="dxa"/>
              <w:start w:w="85" w:type="dxa"/>
              <w:bottom w:w="65" w:type="dxa"/>
              <w:end w:w="85" w:type="dxa"/>
            </w:tcMar>
          </w:tcPr>
          <w:p>
            <w:r>
              <w:rPr>
                <w:color w:val="253238"/>
                <w:sz w:val="15"/>
              </w:rPr>
              <w:t>₹15,00,000</w:t>
            </w:r>
          </w:p>
        </w:tc>
        <w:tc>
          <w:tcPr>
            <w:tcW w:type="dxa" w:w="3685"/>
            <w:vAlign w:val="center"/>
            <w:tcMar>
              <w:top w:w="65" w:type="dxa"/>
              <w:start w:w="85" w:type="dxa"/>
              <w:bottom w:w="65" w:type="dxa"/>
              <w:end w:w="85" w:type="dxa"/>
            </w:tcMar>
          </w:tcPr>
          <w:p>
            <w:r>
              <w:rPr>
                <w:color w:val="253238"/>
                <w:sz w:val="15"/>
              </w:rPr>
              <w:t>Real-time fluoroscopic imaging for orthopaedic, trauma and image-guided procedures.</w:t>
            </w:r>
          </w:p>
        </w:tc>
      </w:tr>
      <w:tr>
        <w:tc>
          <w:tcPr>
            <w:tcW w:type="dxa" w:w="2948"/>
            <w:shd w:fill="F5F8F9"/>
            <w:vAlign w:val="center"/>
            <w:tcMar>
              <w:top w:w="65" w:type="dxa"/>
              <w:start w:w="85" w:type="dxa"/>
              <w:bottom w:w="65" w:type="dxa"/>
              <w:end w:w="85" w:type="dxa"/>
            </w:tcMar>
          </w:tcPr>
          <w:p>
            <w:r>
              <w:rPr>
                <w:b/>
                <w:color w:val="123E56"/>
                <w:sz w:val="15"/>
              </w:rPr>
              <w:t>Orthopaedic &amp; General Surgery Instruments</w:t>
            </w:r>
          </w:p>
        </w:tc>
        <w:tc>
          <w:tcPr>
            <w:tcW w:type="dxa" w:w="1020"/>
            <w:shd w:fill="F5F8F9"/>
            <w:vAlign w:val="center"/>
            <w:tcMar>
              <w:top w:w="65" w:type="dxa"/>
              <w:start w:w="85" w:type="dxa"/>
              <w:bottom w:w="65" w:type="dxa"/>
              <w:end w:w="85" w:type="dxa"/>
            </w:tcMar>
          </w:tcPr>
          <w:p>
            <w:r>
              <w:rPr>
                <w:color w:val="253238"/>
                <w:sz w:val="15"/>
              </w:rPr>
              <w:t>Sets</w:t>
            </w:r>
          </w:p>
        </w:tc>
        <w:tc>
          <w:tcPr>
            <w:tcW w:type="dxa" w:w="1701"/>
            <w:shd w:fill="F5F8F9"/>
            <w:vAlign w:val="center"/>
            <w:tcMar>
              <w:top w:w="65" w:type="dxa"/>
              <w:start w:w="85" w:type="dxa"/>
              <w:bottom w:w="65" w:type="dxa"/>
              <w:end w:w="85" w:type="dxa"/>
            </w:tcMar>
          </w:tcPr>
          <w:p>
            <w:r>
              <w:rPr>
                <w:color w:val="253238"/>
                <w:sz w:val="15"/>
              </w:rPr>
              <w:t>₹10,00,000</w:t>
            </w:r>
          </w:p>
        </w:tc>
        <w:tc>
          <w:tcPr>
            <w:tcW w:type="dxa" w:w="3685"/>
            <w:shd w:fill="F5F8F9"/>
            <w:vAlign w:val="center"/>
            <w:tcMar>
              <w:top w:w="65" w:type="dxa"/>
              <w:start w:w="85" w:type="dxa"/>
              <w:bottom w:w="65" w:type="dxa"/>
              <w:end w:w="85" w:type="dxa"/>
            </w:tcMar>
          </w:tcPr>
          <w:p>
            <w:r>
              <w:rPr>
                <w:color w:val="253238"/>
                <w:sz w:val="15"/>
              </w:rPr>
              <w:t>Core instrument inventory for routine and emergency surgical procedures.</w:t>
            </w:r>
          </w:p>
        </w:tc>
      </w:tr>
      <w:tr>
        <w:tc>
          <w:tcPr>
            <w:tcW w:type="dxa" w:w="2948"/>
            <w:vAlign w:val="center"/>
            <w:tcMar>
              <w:top w:w="65" w:type="dxa"/>
              <w:start w:w="85" w:type="dxa"/>
              <w:bottom w:w="65" w:type="dxa"/>
              <w:end w:w="85" w:type="dxa"/>
            </w:tcMar>
          </w:tcPr>
          <w:p>
            <w:r>
              <w:rPr>
                <w:b/>
                <w:color w:val="123E56"/>
                <w:sz w:val="15"/>
              </w:rPr>
              <w:t>Operating Microscope</w:t>
            </w:r>
          </w:p>
        </w:tc>
        <w:tc>
          <w:tcPr>
            <w:tcW w:type="dxa" w:w="1020"/>
            <w:vAlign w:val="center"/>
            <w:tcMar>
              <w:top w:w="65" w:type="dxa"/>
              <w:start w:w="85" w:type="dxa"/>
              <w:bottom w:w="65" w:type="dxa"/>
              <w:end w:w="85" w:type="dxa"/>
            </w:tcMar>
          </w:tcPr>
          <w:p>
            <w:r>
              <w:rPr>
                <w:color w:val="253238"/>
                <w:sz w:val="15"/>
              </w:rPr>
              <w:t>1 Unit</w:t>
            </w:r>
          </w:p>
        </w:tc>
        <w:tc>
          <w:tcPr>
            <w:tcW w:type="dxa" w:w="1701"/>
            <w:vAlign w:val="center"/>
            <w:tcMar>
              <w:top w:w="65" w:type="dxa"/>
              <w:start w:w="85" w:type="dxa"/>
              <w:bottom w:w="65" w:type="dxa"/>
              <w:end w:w="85" w:type="dxa"/>
            </w:tcMar>
          </w:tcPr>
          <w:p>
            <w:r>
              <w:rPr>
                <w:color w:val="253238"/>
                <w:sz w:val="15"/>
              </w:rPr>
              <w:t>₹5,00,000</w:t>
            </w:r>
          </w:p>
        </w:tc>
        <w:tc>
          <w:tcPr>
            <w:tcW w:type="dxa" w:w="3685"/>
            <w:vAlign w:val="center"/>
            <w:tcMar>
              <w:top w:w="65" w:type="dxa"/>
              <w:start w:w="85" w:type="dxa"/>
              <w:bottom w:w="65" w:type="dxa"/>
              <w:end w:w="85" w:type="dxa"/>
            </w:tcMar>
          </w:tcPr>
          <w:p>
            <w:r>
              <w:rPr>
                <w:color w:val="253238"/>
                <w:sz w:val="15"/>
              </w:rPr>
              <w:t>Magnified visualisation where increased procedural precision is required.</w:t>
            </w:r>
          </w:p>
        </w:tc>
      </w:tr>
      <w:tr>
        <w:tc>
          <w:tcPr>
            <w:tcW w:type="dxa" w:w="2948"/>
            <w:shd w:fill="F5F8F9"/>
            <w:vAlign w:val="center"/>
            <w:tcMar>
              <w:top w:w="65" w:type="dxa"/>
              <w:start w:w="85" w:type="dxa"/>
              <w:bottom w:w="65" w:type="dxa"/>
              <w:end w:w="85" w:type="dxa"/>
            </w:tcMar>
          </w:tcPr>
          <w:p>
            <w:r>
              <w:rPr>
                <w:b/>
                <w:color w:val="123E56"/>
                <w:sz w:val="15"/>
              </w:rPr>
              <w:t>Autoclave &amp; ETO Sterilisation Unit</w:t>
            </w:r>
          </w:p>
        </w:tc>
        <w:tc>
          <w:tcPr>
            <w:tcW w:type="dxa" w:w="1020"/>
            <w:shd w:fill="F5F8F9"/>
            <w:vAlign w:val="center"/>
            <w:tcMar>
              <w:top w:w="65" w:type="dxa"/>
              <w:start w:w="85" w:type="dxa"/>
              <w:bottom w:w="65" w:type="dxa"/>
              <w:end w:w="85" w:type="dxa"/>
            </w:tcMar>
          </w:tcPr>
          <w:p>
            <w:r>
              <w:rPr>
                <w:color w:val="253238"/>
                <w:sz w:val="15"/>
              </w:rPr>
              <w:t>—</w:t>
            </w:r>
          </w:p>
        </w:tc>
        <w:tc>
          <w:tcPr>
            <w:tcW w:type="dxa" w:w="1701"/>
            <w:shd w:fill="F5F8F9"/>
            <w:vAlign w:val="center"/>
            <w:tcMar>
              <w:top w:w="65" w:type="dxa"/>
              <w:start w:w="85" w:type="dxa"/>
              <w:bottom w:w="65" w:type="dxa"/>
              <w:end w:w="85" w:type="dxa"/>
            </w:tcMar>
          </w:tcPr>
          <w:p>
            <w:r>
              <w:rPr>
                <w:color w:val="253238"/>
                <w:sz w:val="15"/>
              </w:rPr>
              <w:t>₹5,00,000</w:t>
            </w:r>
          </w:p>
        </w:tc>
        <w:tc>
          <w:tcPr>
            <w:tcW w:type="dxa" w:w="3685"/>
            <w:shd w:fill="F5F8F9"/>
            <w:vAlign w:val="center"/>
            <w:tcMar>
              <w:top w:w="65" w:type="dxa"/>
              <w:start w:w="85" w:type="dxa"/>
              <w:bottom w:w="65" w:type="dxa"/>
              <w:end w:w="85" w:type="dxa"/>
            </w:tcMar>
          </w:tcPr>
          <w:p>
            <w:r>
              <w:rPr>
                <w:color w:val="253238"/>
                <w:sz w:val="15"/>
              </w:rPr>
              <w:t>Sterilisation of reusable instruments and selected heat-sensitive items.</w:t>
            </w:r>
          </w:p>
        </w:tc>
      </w:tr>
    </w:tbl>
    <w:p/>
    <w:p>
      <w:pPr>
        <w:pStyle w:val="Heading2"/>
      </w:pPr>
      <w:r>
        <w:t>Procurement Principle</w:t>
      </w:r>
    </w:p>
    <w:p>
      <w:r>
        <w:t>Brand selection should follow approved technical specifications rather than image or brand preference alone. Evaluation should include clinical suitability, compliance, service network, uptime commitment, warranty, consumables, training, spare-parts availability and total cost of ownership.</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IMPLEMENTATION &amp; COMMISSIONING</w:t>
      </w:r>
    </w:p>
    <w:p>
      <w:pPr>
        <w:spacing w:after="140"/>
        <w:pBdr>
          <w:bottom w:val="single" w:sz="12" w:space="1" w:color="2F7F7A"/>
        </w:pBdr>
      </w:pPr>
    </w:p>
    <w:tbl>
      <w:tblPr>
        <w:tblStyle w:val="TableGrid"/>
        <w:tblW w:type="auto" w:w="0"/>
        <w:jc w:val="center"/>
        <w:tblLayout w:type="fixed"/>
        <w:tblLook w:firstColumn="1" w:firstRow="1" w:lastColumn="0" w:lastRow="0" w:noHBand="0" w:noVBand="1" w:val="04A0"/>
      </w:tblPr>
      <w:tblGrid>
        <w:gridCol w:w="1814"/>
        <w:gridCol w:w="4535"/>
        <w:gridCol w:w="2835"/>
      </w:tblGrid>
      <w:tr>
        <w:trPr>
          <w:tblHeader w:val="true"/>
        </w:trPr>
        <w:tc>
          <w:tcPr>
            <w:tcW w:type="dxa" w:w="3513"/>
            <w:shd w:fill="123E56"/>
            <w:tcMar>
              <w:top w:w="80" w:type="dxa"/>
              <w:start w:w="90" w:type="dxa"/>
              <w:bottom w:w="80" w:type="dxa"/>
              <w:end w:w="90" w:type="dxa"/>
            </w:tcMar>
          </w:tcPr>
          <w:p>
            <w:r>
              <w:rPr>
                <w:b/>
                <w:color w:val="FFFFFF"/>
                <w:sz w:val="17"/>
              </w:rPr>
              <w:t>Phase</w:t>
            </w:r>
          </w:p>
        </w:tc>
        <w:tc>
          <w:tcPr>
            <w:tcW w:type="dxa" w:w="3513"/>
            <w:shd w:fill="123E56"/>
            <w:tcMar>
              <w:top w:w="80" w:type="dxa"/>
              <w:start w:w="90" w:type="dxa"/>
              <w:bottom w:w="80" w:type="dxa"/>
              <w:end w:w="90" w:type="dxa"/>
            </w:tcMar>
          </w:tcPr>
          <w:p>
            <w:r>
              <w:rPr>
                <w:b/>
                <w:color w:val="FFFFFF"/>
                <w:sz w:val="17"/>
              </w:rPr>
              <w:t>Key Activities</w:t>
            </w:r>
          </w:p>
        </w:tc>
        <w:tc>
          <w:tcPr>
            <w:tcW w:type="dxa" w:w="3513"/>
            <w:shd w:fill="123E56"/>
            <w:tcMar>
              <w:top w:w="80" w:type="dxa"/>
              <w:start w:w="90" w:type="dxa"/>
              <w:bottom w:w="80" w:type="dxa"/>
              <w:end w:w="90" w:type="dxa"/>
            </w:tcMar>
          </w:tcPr>
          <w:p>
            <w:r>
              <w:rPr>
                <w:b/>
                <w:color w:val="FFFFFF"/>
                <w:sz w:val="17"/>
              </w:rPr>
              <w:t>Output</w:t>
            </w:r>
          </w:p>
        </w:tc>
      </w:tr>
      <w:tr>
        <w:tc>
          <w:tcPr>
            <w:tcW w:type="dxa" w:w="1814"/>
            <w:shd w:fill="F5F8F9"/>
            <w:vAlign w:val="center"/>
            <w:tcMar>
              <w:top w:w="65" w:type="dxa"/>
              <w:start w:w="85" w:type="dxa"/>
              <w:bottom w:w="65" w:type="dxa"/>
              <w:end w:w="85" w:type="dxa"/>
            </w:tcMar>
          </w:tcPr>
          <w:p>
            <w:r>
              <w:rPr>
                <w:b/>
                <w:color w:val="123E56"/>
                <w:sz w:val="17"/>
              </w:rPr>
              <w:t>1. Clinical specification</w:t>
            </w:r>
          </w:p>
        </w:tc>
        <w:tc>
          <w:tcPr>
            <w:tcW w:type="dxa" w:w="4535"/>
            <w:shd w:fill="F5F8F9"/>
            <w:vAlign w:val="center"/>
            <w:tcMar>
              <w:top w:w="65" w:type="dxa"/>
              <w:start w:w="85" w:type="dxa"/>
              <w:bottom w:w="65" w:type="dxa"/>
              <w:end w:w="85" w:type="dxa"/>
            </w:tcMar>
          </w:tcPr>
          <w:p>
            <w:r>
              <w:rPr>
                <w:color w:val="253238"/>
                <w:sz w:val="17"/>
              </w:rPr>
              <w:t>Confirm specialties, case mix, theatre count and essential features.</w:t>
            </w:r>
          </w:p>
        </w:tc>
        <w:tc>
          <w:tcPr>
            <w:tcW w:type="dxa" w:w="2835"/>
            <w:shd w:fill="F5F8F9"/>
            <w:vAlign w:val="center"/>
            <w:tcMar>
              <w:top w:w="65" w:type="dxa"/>
              <w:start w:w="85" w:type="dxa"/>
              <w:bottom w:w="65" w:type="dxa"/>
              <w:end w:w="85" w:type="dxa"/>
            </w:tcMar>
          </w:tcPr>
          <w:p>
            <w:r>
              <w:rPr>
                <w:color w:val="253238"/>
                <w:sz w:val="17"/>
              </w:rPr>
              <w:t>Approved equipment specification</w:t>
            </w:r>
          </w:p>
        </w:tc>
      </w:tr>
      <w:tr>
        <w:tc>
          <w:tcPr>
            <w:tcW w:type="dxa" w:w="1814"/>
            <w:vAlign w:val="center"/>
            <w:tcMar>
              <w:top w:w="65" w:type="dxa"/>
              <w:start w:w="85" w:type="dxa"/>
              <w:bottom w:w="65" w:type="dxa"/>
              <w:end w:w="85" w:type="dxa"/>
            </w:tcMar>
          </w:tcPr>
          <w:p>
            <w:r>
              <w:rPr>
                <w:b/>
                <w:color w:val="123E56"/>
                <w:sz w:val="17"/>
              </w:rPr>
              <w:t>2. Infrastructure readiness</w:t>
            </w:r>
          </w:p>
        </w:tc>
        <w:tc>
          <w:tcPr>
            <w:tcW w:type="dxa" w:w="4535"/>
            <w:vAlign w:val="center"/>
            <w:tcMar>
              <w:top w:w="65" w:type="dxa"/>
              <w:start w:w="85" w:type="dxa"/>
              <w:bottom w:w="65" w:type="dxa"/>
              <w:end w:w="85" w:type="dxa"/>
            </w:tcMar>
          </w:tcPr>
          <w:p>
            <w:r>
              <w:rPr>
                <w:color w:val="253238"/>
                <w:sz w:val="17"/>
              </w:rPr>
              <w:t>Review electrical load, earthing, medical gases, HVAC, radiation safety and sterilisation workflow.</w:t>
            </w:r>
          </w:p>
        </w:tc>
        <w:tc>
          <w:tcPr>
            <w:tcW w:type="dxa" w:w="2835"/>
            <w:vAlign w:val="center"/>
            <w:tcMar>
              <w:top w:w="65" w:type="dxa"/>
              <w:start w:w="85" w:type="dxa"/>
              <w:bottom w:w="65" w:type="dxa"/>
              <w:end w:w="85" w:type="dxa"/>
            </w:tcMar>
          </w:tcPr>
          <w:p>
            <w:r>
              <w:rPr>
                <w:color w:val="253238"/>
                <w:sz w:val="17"/>
              </w:rPr>
              <w:t>Site-readiness checklist</w:t>
            </w:r>
          </w:p>
        </w:tc>
      </w:tr>
      <w:tr>
        <w:tc>
          <w:tcPr>
            <w:tcW w:type="dxa" w:w="1814"/>
            <w:shd w:fill="F5F8F9"/>
            <w:vAlign w:val="center"/>
            <w:tcMar>
              <w:top w:w="65" w:type="dxa"/>
              <w:start w:w="85" w:type="dxa"/>
              <w:bottom w:w="65" w:type="dxa"/>
              <w:end w:w="85" w:type="dxa"/>
            </w:tcMar>
          </w:tcPr>
          <w:p>
            <w:r>
              <w:rPr>
                <w:b/>
                <w:color w:val="123E56"/>
                <w:sz w:val="17"/>
              </w:rPr>
              <w:t>3. Competitive procurement</w:t>
            </w:r>
          </w:p>
        </w:tc>
        <w:tc>
          <w:tcPr>
            <w:tcW w:type="dxa" w:w="4535"/>
            <w:shd w:fill="F5F8F9"/>
            <w:vAlign w:val="center"/>
            <w:tcMar>
              <w:top w:w="65" w:type="dxa"/>
              <w:start w:w="85" w:type="dxa"/>
              <w:bottom w:w="65" w:type="dxa"/>
              <w:end w:w="85" w:type="dxa"/>
            </w:tcMar>
          </w:tcPr>
          <w:p>
            <w:r>
              <w:rPr>
                <w:color w:val="253238"/>
                <w:sz w:val="17"/>
              </w:rPr>
              <w:t>Obtain OEM / authorised-dealer quotations and compare technical compliance, warranty and lifecycle support.</w:t>
            </w:r>
          </w:p>
        </w:tc>
        <w:tc>
          <w:tcPr>
            <w:tcW w:type="dxa" w:w="2835"/>
            <w:shd w:fill="F5F8F9"/>
            <w:vAlign w:val="center"/>
            <w:tcMar>
              <w:top w:w="65" w:type="dxa"/>
              <w:start w:w="85" w:type="dxa"/>
              <w:bottom w:w="65" w:type="dxa"/>
              <w:end w:w="85" w:type="dxa"/>
            </w:tcMar>
          </w:tcPr>
          <w:p>
            <w:r>
              <w:rPr>
                <w:color w:val="253238"/>
                <w:sz w:val="17"/>
              </w:rPr>
              <w:t>Procurement recommendation</w:t>
            </w:r>
          </w:p>
        </w:tc>
      </w:tr>
      <w:tr>
        <w:tc>
          <w:tcPr>
            <w:tcW w:type="dxa" w:w="1814"/>
            <w:vAlign w:val="center"/>
            <w:tcMar>
              <w:top w:w="65" w:type="dxa"/>
              <w:start w:w="85" w:type="dxa"/>
              <w:bottom w:w="65" w:type="dxa"/>
              <w:end w:w="85" w:type="dxa"/>
            </w:tcMar>
          </w:tcPr>
          <w:p>
            <w:r>
              <w:rPr>
                <w:b/>
                <w:color w:val="123E56"/>
                <w:sz w:val="17"/>
              </w:rPr>
              <w:t>4. Delivery &amp; installation</w:t>
            </w:r>
          </w:p>
        </w:tc>
        <w:tc>
          <w:tcPr>
            <w:tcW w:type="dxa" w:w="4535"/>
            <w:vAlign w:val="center"/>
            <w:tcMar>
              <w:top w:w="65" w:type="dxa"/>
              <w:start w:w="85" w:type="dxa"/>
              <w:bottom w:w="65" w:type="dxa"/>
              <w:end w:w="85" w:type="dxa"/>
            </w:tcMar>
          </w:tcPr>
          <w:p>
            <w:r>
              <w:rPr>
                <w:color w:val="253238"/>
                <w:sz w:val="17"/>
              </w:rPr>
              <w:t>Inspect, install, calibrate and test equipment.</w:t>
            </w:r>
          </w:p>
        </w:tc>
        <w:tc>
          <w:tcPr>
            <w:tcW w:type="dxa" w:w="2835"/>
            <w:vAlign w:val="center"/>
            <w:tcMar>
              <w:top w:w="65" w:type="dxa"/>
              <w:start w:w="85" w:type="dxa"/>
              <w:bottom w:w="65" w:type="dxa"/>
              <w:end w:w="85" w:type="dxa"/>
            </w:tcMar>
          </w:tcPr>
          <w:p>
            <w:r>
              <w:rPr>
                <w:color w:val="253238"/>
                <w:sz w:val="17"/>
              </w:rPr>
              <w:t>Installed OT equipment</w:t>
            </w:r>
          </w:p>
        </w:tc>
      </w:tr>
      <w:tr>
        <w:tc>
          <w:tcPr>
            <w:tcW w:type="dxa" w:w="1814"/>
            <w:shd w:fill="F5F8F9"/>
            <w:vAlign w:val="center"/>
            <w:tcMar>
              <w:top w:w="65" w:type="dxa"/>
              <w:start w:w="85" w:type="dxa"/>
              <w:bottom w:w="65" w:type="dxa"/>
              <w:end w:w="85" w:type="dxa"/>
            </w:tcMar>
          </w:tcPr>
          <w:p>
            <w:r>
              <w:rPr>
                <w:b/>
                <w:color w:val="123E56"/>
                <w:sz w:val="17"/>
              </w:rPr>
              <w:t>5. Training &amp; commissioning</w:t>
            </w:r>
          </w:p>
        </w:tc>
        <w:tc>
          <w:tcPr>
            <w:tcW w:type="dxa" w:w="4535"/>
            <w:shd w:fill="F5F8F9"/>
            <w:vAlign w:val="center"/>
            <w:tcMar>
              <w:top w:w="65" w:type="dxa"/>
              <w:start w:w="85" w:type="dxa"/>
              <w:bottom w:w="65" w:type="dxa"/>
              <w:end w:w="85" w:type="dxa"/>
            </w:tcMar>
          </w:tcPr>
          <w:p>
            <w:r>
              <w:rPr>
                <w:color w:val="253238"/>
                <w:sz w:val="17"/>
              </w:rPr>
              <w:t>Train anaesthesia, surgical, nursing, biomedical and sterilisation teams.</w:t>
            </w:r>
          </w:p>
        </w:tc>
        <w:tc>
          <w:tcPr>
            <w:tcW w:type="dxa" w:w="2835"/>
            <w:shd w:fill="F5F8F9"/>
            <w:vAlign w:val="center"/>
            <w:tcMar>
              <w:top w:w="65" w:type="dxa"/>
              <w:start w:w="85" w:type="dxa"/>
              <w:bottom w:w="65" w:type="dxa"/>
              <w:end w:w="85" w:type="dxa"/>
            </w:tcMar>
          </w:tcPr>
          <w:p>
            <w:r>
              <w:rPr>
                <w:color w:val="253238"/>
                <w:sz w:val="17"/>
              </w:rPr>
              <w:t>Operational readiness</w:t>
            </w:r>
          </w:p>
        </w:tc>
      </w:tr>
      <w:tr>
        <w:tc>
          <w:tcPr>
            <w:tcW w:type="dxa" w:w="1814"/>
            <w:vAlign w:val="center"/>
            <w:tcMar>
              <w:top w:w="65" w:type="dxa"/>
              <w:start w:w="85" w:type="dxa"/>
              <w:bottom w:w="65" w:type="dxa"/>
              <w:end w:w="85" w:type="dxa"/>
            </w:tcMar>
          </w:tcPr>
          <w:p>
            <w:r>
              <w:rPr>
                <w:b/>
                <w:color w:val="123E56"/>
                <w:sz w:val="17"/>
              </w:rPr>
              <w:t>6. Asset &amp; maintenance control</w:t>
            </w:r>
          </w:p>
        </w:tc>
        <w:tc>
          <w:tcPr>
            <w:tcW w:type="dxa" w:w="4535"/>
            <w:vAlign w:val="center"/>
            <w:tcMar>
              <w:top w:w="65" w:type="dxa"/>
              <w:start w:w="85" w:type="dxa"/>
              <w:bottom w:w="65" w:type="dxa"/>
              <w:end w:w="85" w:type="dxa"/>
            </w:tcMar>
          </w:tcPr>
          <w:p>
            <w:r>
              <w:rPr>
                <w:color w:val="253238"/>
                <w:sz w:val="17"/>
              </w:rPr>
              <w:t>Tag assets, record serial numbers and establish preventive-maintenance schedule.</w:t>
            </w:r>
          </w:p>
        </w:tc>
        <w:tc>
          <w:tcPr>
            <w:tcW w:type="dxa" w:w="2835"/>
            <w:vAlign w:val="center"/>
            <w:tcMar>
              <w:top w:w="65" w:type="dxa"/>
              <w:start w:w="85" w:type="dxa"/>
              <w:bottom w:w="65" w:type="dxa"/>
              <w:end w:w="85" w:type="dxa"/>
            </w:tcMar>
          </w:tcPr>
          <w:p>
            <w:r>
              <w:rPr>
                <w:color w:val="253238"/>
                <w:sz w:val="17"/>
              </w:rPr>
              <w:t>Traceable CSR assets</w:t>
            </w:r>
          </w:p>
        </w:tc>
      </w:tr>
    </w:tbl>
    <w:p/>
    <w:p>
      <w:pPr>
        <w:pStyle w:val="Heading2"/>
      </w:pPr>
      <w:r>
        <w:t>Infrastructure Outside the ₹86.80 Lakh Core Equipment Budget</w:t>
      </w:r>
    </w:p>
    <w:p>
      <w:r>
        <w:t>The source estimate lists OT equipment separately from the hospital's broader air-conditioning allocation. Therefore, OT HVAC / air-conditioning, civil works, electrical upgrades, medical-gas extensions, radiation shielding, modular OT works and any bed/stretcher lift should not be silently added to the ₹86.80 lakh equipment figure. If any of these are required, they should be costed as separate infrastructure packages after site assessment and vendor quotation.</w:t>
      </w:r>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CSR IMPACT &amp; PARTNERSHIP OPTIONS</w:t>
      </w:r>
    </w:p>
    <w:p>
      <w:pPr>
        <w:spacing w:after="140"/>
        <w:pBdr>
          <w:bottom w:val="single" w:sz="12" w:space="1" w:color="2F7F7A"/>
        </w:pBdr>
      </w:pPr>
    </w:p>
    <w:p>
      <w:r>
        <w:t>The proposed OT creates a permanent rural surgical asset rather than a one-time camp or consumable programme. Its impact can be tracked through service utilisation, procedures supported, emergency cases managed and referrals avoided.</w:t>
      </w:r>
    </w:p>
    <w:tbl>
      <w:tblPr>
        <w:tblStyle w:val="TableGrid"/>
        <w:tblW w:type="auto" w:w="0"/>
        <w:jc w:val="center"/>
        <w:tblLayout w:type="fixed"/>
        <w:tblLook w:firstColumn="1" w:firstRow="1" w:lastColumn="0" w:lastRow="0" w:noHBand="0" w:noVBand="1" w:val="04A0"/>
      </w:tblPr>
      <w:tblGrid>
        <w:gridCol w:w="2891"/>
        <w:gridCol w:w="6236"/>
      </w:tblGrid>
      <w:tr>
        <w:trPr>
          <w:tblHeader w:val="true"/>
        </w:trPr>
        <w:tc>
          <w:tcPr>
            <w:tcW w:type="dxa" w:w="5270"/>
            <w:shd w:fill="123E56"/>
            <w:tcMar>
              <w:top w:w="80" w:type="dxa"/>
              <w:start w:w="90" w:type="dxa"/>
              <w:bottom w:w="80" w:type="dxa"/>
              <w:end w:w="90" w:type="dxa"/>
            </w:tcMar>
          </w:tcPr>
          <w:p>
            <w:r>
              <w:rPr>
                <w:b/>
                <w:color w:val="FFFFFF"/>
                <w:sz w:val="17"/>
              </w:rPr>
              <w:t>Impact Area</w:t>
            </w:r>
          </w:p>
        </w:tc>
        <w:tc>
          <w:tcPr>
            <w:tcW w:type="dxa" w:w="5270"/>
            <w:shd w:fill="123E56"/>
            <w:tcMar>
              <w:top w:w="80" w:type="dxa"/>
              <w:start w:w="90" w:type="dxa"/>
              <w:bottom w:w="80" w:type="dxa"/>
              <w:end w:w="90" w:type="dxa"/>
            </w:tcMar>
          </w:tcPr>
          <w:p>
            <w:r>
              <w:rPr>
                <w:b/>
                <w:color w:val="FFFFFF"/>
                <w:sz w:val="17"/>
              </w:rPr>
              <w:t>Illustrative Indicator</w:t>
            </w:r>
          </w:p>
        </w:tc>
      </w:tr>
      <w:tr>
        <w:tc>
          <w:tcPr>
            <w:tcW w:type="dxa" w:w="2891"/>
            <w:shd w:fill="F5F8F9"/>
            <w:vAlign w:val="center"/>
            <w:tcMar>
              <w:top w:w="65" w:type="dxa"/>
              <w:start w:w="85" w:type="dxa"/>
              <w:bottom w:w="65" w:type="dxa"/>
              <w:end w:w="85" w:type="dxa"/>
            </w:tcMar>
          </w:tcPr>
          <w:p>
            <w:r>
              <w:rPr>
                <w:b/>
                <w:color w:val="123E56"/>
                <w:sz w:val="17"/>
              </w:rPr>
              <w:t>Surgical access</w:t>
            </w:r>
          </w:p>
        </w:tc>
        <w:tc>
          <w:tcPr>
            <w:tcW w:type="dxa" w:w="6236"/>
            <w:shd w:fill="F5F8F9"/>
            <w:vAlign w:val="center"/>
            <w:tcMar>
              <w:top w:w="65" w:type="dxa"/>
              <w:start w:w="85" w:type="dxa"/>
              <w:bottom w:w="65" w:type="dxa"/>
              <w:end w:w="85" w:type="dxa"/>
            </w:tcMar>
          </w:tcPr>
          <w:p>
            <w:r>
              <w:rPr>
                <w:color w:val="253238"/>
                <w:sz w:val="17"/>
              </w:rPr>
              <w:t>Number of operations performed locally</w:t>
            </w:r>
          </w:p>
        </w:tc>
      </w:tr>
      <w:tr>
        <w:tc>
          <w:tcPr>
            <w:tcW w:type="dxa" w:w="2891"/>
            <w:vAlign w:val="center"/>
            <w:tcMar>
              <w:top w:w="65" w:type="dxa"/>
              <w:start w:w="85" w:type="dxa"/>
              <w:bottom w:w="65" w:type="dxa"/>
              <w:end w:w="85" w:type="dxa"/>
            </w:tcMar>
          </w:tcPr>
          <w:p>
            <w:r>
              <w:rPr>
                <w:b/>
                <w:color w:val="123E56"/>
                <w:sz w:val="17"/>
              </w:rPr>
              <w:t>Emergency capability</w:t>
            </w:r>
          </w:p>
        </w:tc>
        <w:tc>
          <w:tcPr>
            <w:tcW w:type="dxa" w:w="6236"/>
            <w:vAlign w:val="center"/>
            <w:tcMar>
              <w:top w:w="65" w:type="dxa"/>
              <w:start w:w="85" w:type="dxa"/>
              <w:bottom w:w="65" w:type="dxa"/>
              <w:end w:w="85" w:type="dxa"/>
            </w:tcMar>
          </w:tcPr>
          <w:p>
            <w:r>
              <w:rPr>
                <w:color w:val="253238"/>
                <w:sz w:val="17"/>
              </w:rPr>
              <w:t>Trauma / urgent cases supported</w:t>
            </w:r>
          </w:p>
        </w:tc>
      </w:tr>
      <w:tr>
        <w:tc>
          <w:tcPr>
            <w:tcW w:type="dxa" w:w="2891"/>
            <w:shd w:fill="F5F8F9"/>
            <w:vAlign w:val="center"/>
            <w:tcMar>
              <w:top w:w="65" w:type="dxa"/>
              <w:start w:w="85" w:type="dxa"/>
              <w:bottom w:w="65" w:type="dxa"/>
              <w:end w:w="85" w:type="dxa"/>
            </w:tcMar>
          </w:tcPr>
          <w:p>
            <w:r>
              <w:rPr>
                <w:b/>
                <w:color w:val="123E56"/>
                <w:sz w:val="17"/>
              </w:rPr>
              <w:t>Orthopaedic access</w:t>
            </w:r>
          </w:p>
        </w:tc>
        <w:tc>
          <w:tcPr>
            <w:tcW w:type="dxa" w:w="6236"/>
            <w:shd w:fill="F5F8F9"/>
            <w:vAlign w:val="center"/>
            <w:tcMar>
              <w:top w:w="65" w:type="dxa"/>
              <w:start w:w="85" w:type="dxa"/>
              <w:bottom w:w="65" w:type="dxa"/>
              <w:end w:w="85" w:type="dxa"/>
            </w:tcMar>
          </w:tcPr>
          <w:p>
            <w:r>
              <w:rPr>
                <w:color w:val="253238"/>
                <w:sz w:val="17"/>
              </w:rPr>
              <w:t>Procedures supported with C-Arm guidance</w:t>
            </w:r>
          </w:p>
        </w:tc>
      </w:tr>
      <w:tr>
        <w:tc>
          <w:tcPr>
            <w:tcW w:type="dxa" w:w="2891"/>
            <w:vAlign w:val="center"/>
            <w:tcMar>
              <w:top w:w="65" w:type="dxa"/>
              <w:start w:w="85" w:type="dxa"/>
              <w:bottom w:w="65" w:type="dxa"/>
              <w:end w:w="85" w:type="dxa"/>
            </w:tcMar>
          </w:tcPr>
          <w:p>
            <w:r>
              <w:rPr>
                <w:b/>
                <w:color w:val="123E56"/>
                <w:sz w:val="17"/>
              </w:rPr>
              <w:t>Continuity of care</w:t>
            </w:r>
          </w:p>
        </w:tc>
        <w:tc>
          <w:tcPr>
            <w:tcW w:type="dxa" w:w="6236"/>
            <w:vAlign w:val="center"/>
            <w:tcMar>
              <w:top w:w="65" w:type="dxa"/>
              <w:start w:w="85" w:type="dxa"/>
              <w:bottom w:w="65" w:type="dxa"/>
              <w:end w:w="85" w:type="dxa"/>
            </w:tcMar>
          </w:tcPr>
          <w:p>
            <w:r>
              <w:rPr>
                <w:color w:val="253238"/>
                <w:sz w:val="17"/>
              </w:rPr>
              <w:t>Patients completing surgery and recovery within the hospital pathway</w:t>
            </w:r>
          </w:p>
        </w:tc>
      </w:tr>
      <w:tr>
        <w:tc>
          <w:tcPr>
            <w:tcW w:type="dxa" w:w="2891"/>
            <w:shd w:fill="F5F8F9"/>
            <w:vAlign w:val="center"/>
            <w:tcMar>
              <w:top w:w="65" w:type="dxa"/>
              <w:start w:w="85" w:type="dxa"/>
              <w:bottom w:w="65" w:type="dxa"/>
              <w:end w:w="85" w:type="dxa"/>
            </w:tcMar>
          </w:tcPr>
          <w:p>
            <w:r>
              <w:rPr>
                <w:b/>
                <w:color w:val="123E56"/>
                <w:sz w:val="17"/>
              </w:rPr>
              <w:t>Referral reduction</w:t>
            </w:r>
          </w:p>
        </w:tc>
        <w:tc>
          <w:tcPr>
            <w:tcW w:type="dxa" w:w="6236"/>
            <w:shd w:fill="F5F8F9"/>
            <w:vAlign w:val="center"/>
            <w:tcMar>
              <w:top w:w="65" w:type="dxa"/>
              <w:start w:w="85" w:type="dxa"/>
              <w:bottom w:w="65" w:type="dxa"/>
              <w:end w:w="85" w:type="dxa"/>
            </w:tcMar>
          </w:tcPr>
          <w:p>
            <w:r>
              <w:rPr>
                <w:color w:val="253238"/>
                <w:sz w:val="17"/>
              </w:rPr>
              <w:t>Selected cases managed locally rather than transferred solely for OT capability</w:t>
            </w:r>
          </w:p>
        </w:tc>
      </w:tr>
      <w:tr>
        <w:tc>
          <w:tcPr>
            <w:tcW w:type="dxa" w:w="2891"/>
            <w:vAlign w:val="center"/>
            <w:tcMar>
              <w:top w:w="65" w:type="dxa"/>
              <w:start w:w="85" w:type="dxa"/>
              <w:bottom w:w="65" w:type="dxa"/>
              <w:end w:w="85" w:type="dxa"/>
            </w:tcMar>
          </w:tcPr>
          <w:p>
            <w:r>
              <w:rPr>
                <w:b/>
                <w:color w:val="123E56"/>
                <w:sz w:val="17"/>
              </w:rPr>
              <w:t>Safety</w:t>
            </w:r>
          </w:p>
        </w:tc>
        <w:tc>
          <w:tcPr>
            <w:tcW w:type="dxa" w:w="6236"/>
            <w:vAlign w:val="center"/>
            <w:tcMar>
              <w:top w:w="65" w:type="dxa"/>
              <w:start w:w="85" w:type="dxa"/>
              <w:bottom w:w="65" w:type="dxa"/>
              <w:end w:w="85" w:type="dxa"/>
            </w:tcMar>
          </w:tcPr>
          <w:p>
            <w:r>
              <w:rPr>
                <w:color w:val="253238"/>
                <w:sz w:val="17"/>
              </w:rPr>
              <w:t>Equipment uptime, preventive maintenance and sterilisation compliance</w:t>
            </w:r>
          </w:p>
        </w:tc>
      </w:tr>
      <w:tr>
        <w:tc>
          <w:tcPr>
            <w:tcW w:type="dxa" w:w="2891"/>
            <w:shd w:fill="F5F8F9"/>
            <w:vAlign w:val="center"/>
            <w:tcMar>
              <w:top w:w="65" w:type="dxa"/>
              <w:start w:w="85" w:type="dxa"/>
              <w:bottom w:w="65" w:type="dxa"/>
              <w:end w:w="85" w:type="dxa"/>
            </w:tcMar>
          </w:tcPr>
          <w:p>
            <w:r>
              <w:rPr>
                <w:b/>
                <w:color w:val="123E56"/>
                <w:sz w:val="17"/>
              </w:rPr>
              <w:t>Equity</w:t>
            </w:r>
          </w:p>
        </w:tc>
        <w:tc>
          <w:tcPr>
            <w:tcW w:type="dxa" w:w="6236"/>
            <w:shd w:fill="F5F8F9"/>
            <w:vAlign w:val="center"/>
            <w:tcMar>
              <w:top w:w="65" w:type="dxa"/>
              <w:start w:w="85" w:type="dxa"/>
              <w:bottom w:w="65" w:type="dxa"/>
              <w:end w:w="85" w:type="dxa"/>
            </w:tcMar>
          </w:tcPr>
          <w:p>
            <w:r>
              <w:rPr>
                <w:color w:val="253238"/>
                <w:sz w:val="17"/>
              </w:rPr>
              <w:t>Rural / underserved patients accessing subsidised or affordable surgery</w:t>
            </w:r>
          </w:p>
        </w:tc>
      </w:tr>
    </w:tbl>
    <w:p/>
    <w:p>
      <w:pPr>
        <w:pStyle w:val="Heading2"/>
      </w:pPr>
      <w:r>
        <w:t>Illustrative CSR Partnership Options</w:t>
      </w:r>
    </w:p>
    <w:tbl>
      <w:tblPr>
        <w:tblStyle w:val="TableGrid"/>
        <w:tblW w:type="auto" w:w="0"/>
        <w:jc w:val="center"/>
        <w:tblLayout w:type="fixed"/>
        <w:tblLook w:firstColumn="1" w:firstRow="1" w:lastColumn="0" w:lastRow="0" w:noHBand="0" w:noVBand="1" w:val="04A0"/>
      </w:tblPr>
      <w:tblGrid>
        <w:gridCol w:w="2835"/>
        <w:gridCol w:w="2381"/>
        <w:gridCol w:w="3855"/>
      </w:tblGrid>
      <w:tr>
        <w:trPr>
          <w:tblHeader w:val="true"/>
        </w:trPr>
        <w:tc>
          <w:tcPr>
            <w:tcW w:type="dxa" w:w="3513"/>
            <w:shd w:fill="123E56"/>
            <w:tcMar>
              <w:top w:w="80" w:type="dxa"/>
              <w:start w:w="90" w:type="dxa"/>
              <w:bottom w:w="80" w:type="dxa"/>
              <w:end w:w="90" w:type="dxa"/>
            </w:tcMar>
          </w:tcPr>
          <w:p>
            <w:r>
              <w:rPr>
                <w:b/>
                <w:color w:val="FFFFFF"/>
                <w:sz w:val="16"/>
              </w:rPr>
              <w:t>Partnership</w:t>
            </w:r>
          </w:p>
        </w:tc>
        <w:tc>
          <w:tcPr>
            <w:tcW w:type="dxa" w:w="3513"/>
            <w:shd w:fill="123E56"/>
            <w:tcMar>
              <w:top w:w="80" w:type="dxa"/>
              <w:start w:w="90" w:type="dxa"/>
              <w:bottom w:w="80" w:type="dxa"/>
              <w:end w:w="90" w:type="dxa"/>
            </w:tcMar>
          </w:tcPr>
          <w:p>
            <w:r>
              <w:rPr>
                <w:b/>
                <w:color w:val="FFFFFF"/>
                <w:sz w:val="16"/>
              </w:rPr>
              <w:t>Illustrative Support</w:t>
            </w:r>
          </w:p>
        </w:tc>
        <w:tc>
          <w:tcPr>
            <w:tcW w:type="dxa" w:w="3513"/>
            <w:shd w:fill="123E56"/>
            <w:tcMar>
              <w:top w:w="80" w:type="dxa"/>
              <w:start w:w="90" w:type="dxa"/>
              <w:bottom w:w="80" w:type="dxa"/>
              <w:end w:w="90" w:type="dxa"/>
            </w:tcMar>
          </w:tcPr>
          <w:p>
            <w:r>
              <w:rPr>
                <w:b/>
                <w:color w:val="FFFFFF"/>
                <w:sz w:val="16"/>
              </w:rPr>
              <w:t>Scope</w:t>
            </w:r>
          </w:p>
        </w:tc>
      </w:tr>
      <w:tr>
        <w:tc>
          <w:tcPr>
            <w:tcW w:type="dxa" w:w="2835"/>
            <w:shd w:fill="F5F8F9"/>
            <w:vAlign w:val="center"/>
            <w:tcMar>
              <w:top w:w="65" w:type="dxa"/>
              <w:start w:w="85" w:type="dxa"/>
              <w:bottom w:w="65" w:type="dxa"/>
              <w:end w:w="85" w:type="dxa"/>
            </w:tcMar>
          </w:tcPr>
          <w:p>
            <w:r>
              <w:rPr>
                <w:b/>
                <w:color w:val="123E56"/>
                <w:sz w:val="16"/>
              </w:rPr>
              <w:t>Complete Operation Theatre Partner</w:t>
            </w:r>
          </w:p>
        </w:tc>
        <w:tc>
          <w:tcPr>
            <w:tcW w:type="dxa" w:w="2381"/>
            <w:shd w:fill="F5F8F9"/>
            <w:vAlign w:val="center"/>
            <w:tcMar>
              <w:top w:w="65" w:type="dxa"/>
              <w:start w:w="85" w:type="dxa"/>
              <w:bottom w:w="65" w:type="dxa"/>
              <w:end w:w="85" w:type="dxa"/>
            </w:tcMar>
          </w:tcPr>
          <w:p>
            <w:r>
              <w:rPr>
                <w:color w:val="253238"/>
                <w:sz w:val="16"/>
              </w:rPr>
              <w:t>₹86,80,000</w:t>
            </w:r>
          </w:p>
        </w:tc>
        <w:tc>
          <w:tcPr>
            <w:tcW w:type="dxa" w:w="3855"/>
            <w:shd w:fill="F5F8F9"/>
            <w:vAlign w:val="center"/>
            <w:tcMar>
              <w:top w:w="65" w:type="dxa"/>
              <w:start w:w="85" w:type="dxa"/>
              <w:bottom w:w="65" w:type="dxa"/>
              <w:end w:w="85" w:type="dxa"/>
            </w:tcMar>
          </w:tcPr>
          <w:p>
            <w:r>
              <w:rPr>
                <w:color w:val="253238"/>
                <w:sz w:val="16"/>
              </w:rPr>
              <w:t>Full source-defined OT equipment package</w:t>
            </w:r>
          </w:p>
        </w:tc>
      </w:tr>
      <w:tr>
        <w:tc>
          <w:tcPr>
            <w:tcW w:type="dxa" w:w="2835"/>
            <w:vAlign w:val="center"/>
            <w:tcMar>
              <w:top w:w="65" w:type="dxa"/>
              <w:start w:w="85" w:type="dxa"/>
              <w:bottom w:w="65" w:type="dxa"/>
              <w:end w:w="85" w:type="dxa"/>
            </w:tcMar>
          </w:tcPr>
          <w:p>
            <w:r>
              <w:rPr>
                <w:b/>
                <w:color w:val="123E56"/>
                <w:sz w:val="16"/>
              </w:rPr>
              <w:t>Anaesthesia &amp; Monitoring Partner</w:t>
            </w:r>
          </w:p>
        </w:tc>
        <w:tc>
          <w:tcPr>
            <w:tcW w:type="dxa" w:w="2381"/>
            <w:vAlign w:val="center"/>
            <w:tcMar>
              <w:top w:w="65" w:type="dxa"/>
              <w:start w:w="85" w:type="dxa"/>
              <w:bottom w:w="65" w:type="dxa"/>
              <w:end w:w="85" w:type="dxa"/>
            </w:tcMar>
          </w:tcPr>
          <w:p>
            <w:r>
              <w:rPr>
                <w:color w:val="253238"/>
                <w:sz w:val="16"/>
              </w:rPr>
              <w:t>₹27,20,000</w:t>
            </w:r>
          </w:p>
        </w:tc>
        <w:tc>
          <w:tcPr>
            <w:tcW w:type="dxa" w:w="3855"/>
            <w:vAlign w:val="center"/>
            <w:tcMar>
              <w:top w:w="65" w:type="dxa"/>
              <w:start w:w="85" w:type="dxa"/>
              <w:bottom w:w="65" w:type="dxa"/>
              <w:end w:w="85" w:type="dxa"/>
            </w:tcMar>
          </w:tcPr>
          <w:p>
            <w:r>
              <w:rPr>
                <w:color w:val="253238"/>
                <w:sz w:val="16"/>
              </w:rPr>
              <w:t>2 anaesthesia workstations + multipara monitoring</w:t>
            </w:r>
          </w:p>
        </w:tc>
      </w:tr>
      <w:tr>
        <w:tc>
          <w:tcPr>
            <w:tcW w:type="dxa" w:w="2835"/>
            <w:shd w:fill="F5F8F9"/>
            <w:vAlign w:val="center"/>
            <w:tcMar>
              <w:top w:w="65" w:type="dxa"/>
              <w:start w:w="85" w:type="dxa"/>
              <w:bottom w:w="65" w:type="dxa"/>
              <w:end w:w="85" w:type="dxa"/>
            </w:tcMar>
          </w:tcPr>
          <w:p>
            <w:r>
              <w:rPr>
                <w:b/>
                <w:color w:val="123E56"/>
                <w:sz w:val="16"/>
              </w:rPr>
              <w:t>Image-Guided Surgery Partner</w:t>
            </w:r>
          </w:p>
        </w:tc>
        <w:tc>
          <w:tcPr>
            <w:tcW w:type="dxa" w:w="2381"/>
            <w:shd w:fill="F5F8F9"/>
            <w:vAlign w:val="center"/>
            <w:tcMar>
              <w:top w:w="65" w:type="dxa"/>
              <w:start w:w="85" w:type="dxa"/>
              <w:bottom w:w="65" w:type="dxa"/>
              <w:end w:w="85" w:type="dxa"/>
            </w:tcMar>
          </w:tcPr>
          <w:p>
            <w:r>
              <w:rPr>
                <w:color w:val="253238"/>
                <w:sz w:val="16"/>
              </w:rPr>
              <w:t>₹15,00,000</w:t>
            </w:r>
          </w:p>
        </w:tc>
        <w:tc>
          <w:tcPr>
            <w:tcW w:type="dxa" w:w="3855"/>
            <w:shd w:fill="F5F8F9"/>
            <w:vAlign w:val="center"/>
            <w:tcMar>
              <w:top w:w="65" w:type="dxa"/>
              <w:start w:w="85" w:type="dxa"/>
              <w:bottom w:w="65" w:type="dxa"/>
              <w:end w:w="85" w:type="dxa"/>
            </w:tcMar>
          </w:tcPr>
          <w:p>
            <w:r>
              <w:rPr>
                <w:color w:val="253238"/>
                <w:sz w:val="16"/>
              </w:rPr>
              <w:t>C-Arm imaging system</w:t>
            </w:r>
          </w:p>
        </w:tc>
      </w:tr>
      <w:tr>
        <w:tc>
          <w:tcPr>
            <w:tcW w:type="dxa" w:w="2835"/>
            <w:vAlign w:val="center"/>
            <w:tcMar>
              <w:top w:w="65" w:type="dxa"/>
              <w:start w:w="85" w:type="dxa"/>
              <w:bottom w:w="65" w:type="dxa"/>
              <w:end w:w="85" w:type="dxa"/>
            </w:tcMar>
          </w:tcPr>
          <w:p>
            <w:r>
              <w:rPr>
                <w:b/>
                <w:color w:val="123E56"/>
                <w:sz w:val="16"/>
              </w:rPr>
              <w:t>Minimally Invasive Surgery Partner</w:t>
            </w:r>
          </w:p>
        </w:tc>
        <w:tc>
          <w:tcPr>
            <w:tcW w:type="dxa" w:w="2381"/>
            <w:vAlign w:val="center"/>
            <w:tcMar>
              <w:top w:w="65" w:type="dxa"/>
              <w:start w:w="85" w:type="dxa"/>
              <w:bottom w:w="65" w:type="dxa"/>
              <w:end w:w="85" w:type="dxa"/>
            </w:tcMar>
          </w:tcPr>
          <w:p>
            <w:r>
              <w:rPr>
                <w:color w:val="253238"/>
                <w:sz w:val="16"/>
              </w:rPr>
              <w:t>₹9,60,000</w:t>
            </w:r>
          </w:p>
        </w:tc>
        <w:tc>
          <w:tcPr>
            <w:tcW w:type="dxa" w:w="3855"/>
            <w:vAlign w:val="center"/>
            <w:tcMar>
              <w:top w:w="65" w:type="dxa"/>
              <w:start w:w="85" w:type="dxa"/>
              <w:bottom w:w="65" w:type="dxa"/>
              <w:end w:w="85" w:type="dxa"/>
            </w:tcMar>
          </w:tcPr>
          <w:p>
            <w:r>
              <w:rPr>
                <w:color w:val="253238"/>
                <w:sz w:val="16"/>
              </w:rPr>
              <w:t>Laparoscopic instrument sets</w:t>
            </w:r>
          </w:p>
        </w:tc>
      </w:tr>
      <w:tr>
        <w:tc>
          <w:tcPr>
            <w:tcW w:type="dxa" w:w="2835"/>
            <w:shd w:fill="F5F8F9"/>
            <w:vAlign w:val="center"/>
            <w:tcMar>
              <w:top w:w="65" w:type="dxa"/>
              <w:start w:w="85" w:type="dxa"/>
              <w:bottom w:w="65" w:type="dxa"/>
              <w:end w:w="85" w:type="dxa"/>
            </w:tcMar>
          </w:tcPr>
          <w:p>
            <w:r>
              <w:rPr>
                <w:b/>
                <w:color w:val="123E56"/>
                <w:sz w:val="16"/>
              </w:rPr>
              <w:t>Surgical Instrument Partner</w:t>
            </w:r>
          </w:p>
        </w:tc>
        <w:tc>
          <w:tcPr>
            <w:tcW w:type="dxa" w:w="2381"/>
            <w:shd w:fill="F5F8F9"/>
            <w:vAlign w:val="center"/>
            <w:tcMar>
              <w:top w:w="65" w:type="dxa"/>
              <w:start w:w="85" w:type="dxa"/>
              <w:bottom w:w="65" w:type="dxa"/>
              <w:end w:w="85" w:type="dxa"/>
            </w:tcMar>
          </w:tcPr>
          <w:p>
            <w:r>
              <w:rPr>
                <w:color w:val="253238"/>
                <w:sz w:val="16"/>
              </w:rPr>
              <w:t>₹10,00,000</w:t>
            </w:r>
          </w:p>
        </w:tc>
        <w:tc>
          <w:tcPr>
            <w:tcW w:type="dxa" w:w="3855"/>
            <w:shd w:fill="F5F8F9"/>
            <w:vAlign w:val="center"/>
            <w:tcMar>
              <w:top w:w="65" w:type="dxa"/>
              <w:start w:w="85" w:type="dxa"/>
              <w:bottom w:w="65" w:type="dxa"/>
              <w:end w:w="85" w:type="dxa"/>
            </w:tcMar>
          </w:tcPr>
          <w:p>
            <w:r>
              <w:rPr>
                <w:color w:val="253238"/>
                <w:sz w:val="16"/>
              </w:rPr>
              <w:t>Orthopaedic &amp; general surgery instrument sets</w:t>
            </w:r>
          </w:p>
        </w:tc>
      </w:tr>
      <w:tr>
        <w:tc>
          <w:tcPr>
            <w:tcW w:type="dxa" w:w="2835"/>
            <w:vAlign w:val="center"/>
            <w:tcMar>
              <w:top w:w="65" w:type="dxa"/>
              <w:start w:w="85" w:type="dxa"/>
              <w:bottom w:w="65" w:type="dxa"/>
              <w:end w:w="85" w:type="dxa"/>
            </w:tcMar>
          </w:tcPr>
          <w:p>
            <w:r>
              <w:rPr>
                <w:b/>
                <w:color w:val="123E56"/>
                <w:sz w:val="16"/>
              </w:rPr>
              <w:t>Sterilisation Partner</w:t>
            </w:r>
          </w:p>
        </w:tc>
        <w:tc>
          <w:tcPr>
            <w:tcW w:type="dxa" w:w="2381"/>
            <w:vAlign w:val="center"/>
            <w:tcMar>
              <w:top w:w="65" w:type="dxa"/>
              <w:start w:w="85" w:type="dxa"/>
              <w:bottom w:w="65" w:type="dxa"/>
              <w:end w:w="85" w:type="dxa"/>
            </w:tcMar>
          </w:tcPr>
          <w:p>
            <w:r>
              <w:rPr>
                <w:color w:val="253238"/>
                <w:sz w:val="16"/>
              </w:rPr>
              <w:t>₹5,00,000</w:t>
            </w:r>
          </w:p>
        </w:tc>
        <w:tc>
          <w:tcPr>
            <w:tcW w:type="dxa" w:w="3855"/>
            <w:vAlign w:val="center"/>
            <w:tcMar>
              <w:top w:w="65" w:type="dxa"/>
              <w:start w:w="85" w:type="dxa"/>
              <w:bottom w:w="65" w:type="dxa"/>
              <w:end w:w="85" w:type="dxa"/>
            </w:tcMar>
          </w:tcPr>
          <w:p>
            <w:r>
              <w:rPr>
                <w:color w:val="253238"/>
                <w:sz w:val="16"/>
              </w:rPr>
              <w:t>Autoclave &amp; ETO sterilisation unit</w:t>
            </w:r>
          </w:p>
        </w:tc>
      </w:tr>
      <w:tr>
        <w:tc>
          <w:tcPr>
            <w:tcW w:type="dxa" w:w="2835"/>
            <w:shd w:fill="F5F8F9"/>
            <w:vAlign w:val="center"/>
            <w:tcMar>
              <w:top w:w="65" w:type="dxa"/>
              <w:start w:w="85" w:type="dxa"/>
              <w:bottom w:w="65" w:type="dxa"/>
              <w:end w:w="85" w:type="dxa"/>
            </w:tcMar>
          </w:tcPr>
          <w:p>
            <w:r>
              <w:rPr>
                <w:b/>
                <w:color w:val="123E56"/>
                <w:sz w:val="16"/>
              </w:rPr>
              <w:t>Precision Surgery Partner</w:t>
            </w:r>
          </w:p>
        </w:tc>
        <w:tc>
          <w:tcPr>
            <w:tcW w:type="dxa" w:w="2381"/>
            <w:shd w:fill="F5F8F9"/>
            <w:vAlign w:val="center"/>
            <w:tcMar>
              <w:top w:w="65" w:type="dxa"/>
              <w:start w:w="85" w:type="dxa"/>
              <w:bottom w:w="65" w:type="dxa"/>
              <w:end w:w="85" w:type="dxa"/>
            </w:tcMar>
          </w:tcPr>
          <w:p>
            <w:r>
              <w:rPr>
                <w:color w:val="253238"/>
                <w:sz w:val="16"/>
              </w:rPr>
              <w:t>₹5,00,000</w:t>
            </w:r>
          </w:p>
        </w:tc>
        <w:tc>
          <w:tcPr>
            <w:tcW w:type="dxa" w:w="3855"/>
            <w:shd w:fill="F5F8F9"/>
            <w:vAlign w:val="center"/>
            <w:tcMar>
              <w:top w:w="65" w:type="dxa"/>
              <w:start w:w="85" w:type="dxa"/>
              <w:bottom w:w="65" w:type="dxa"/>
              <w:end w:w="85" w:type="dxa"/>
            </w:tcMar>
          </w:tcPr>
          <w:p>
            <w:r>
              <w:rPr>
                <w:color w:val="253238"/>
                <w:sz w:val="16"/>
              </w:rPr>
              <w:t>Operating microscope</w:t>
            </w:r>
          </w:p>
        </w:tc>
      </w:tr>
    </w:tbl>
    <w:p/>
    <w:p>
      <w:r>
        <w:br w:type="page"/>
      </w:r>
    </w:p>
    <w:tbl>
      <w:tblPr>
        <w:tblW w:type="auto" w:w="0"/>
        <w:jc w:val="center"/>
        <w:tblLayout w:type="fixed"/>
        <w:tblLook w:firstColumn="1" w:firstRow="1" w:lastColumn="0" w:lastRow="0" w:noHBand="0" w:noVBand="1" w:val="04A0"/>
      </w:tblPr>
      <w:tblGrid>
        <w:gridCol w:w="2381"/>
        <w:gridCol w:w="7200"/>
      </w:tblGrid>
      <w:tr>
        <w:tc>
          <w:tcPr>
            <w:tcW w:type="dxa" w:w="5270"/>
            <w:tcMar>
              <w:top w:w="40" w:type="dxa"/>
              <w:start w:w="60" w:type="dxa"/>
              <w:bottom w:w="40" w:type="dxa"/>
              <w:end w:w="60" w:type="dxa"/>
            </w:tcMar>
          </w:tcPr>
          <w:p>
            <w:r>
              <w:rPr>
                <w:b/>
                <w:color w:val="6C757A"/>
                <w:sz w:val="18"/>
              </w:rPr>
              <w:t>LOGO</w:t>
            </w:r>
          </w:p>
        </w:tc>
        <w:tc>
          <w:tcPr>
            <w:tcW w:type="dxa" w:w="5270"/>
            <w:tcMar>
              <w:top w:w="40" w:type="dxa"/>
              <w:start w:w="60" w:type="dxa"/>
              <w:bottom w:w="40" w:type="dxa"/>
              <w:end w:w="60" w:type="dxa"/>
            </w:tcMar>
          </w:tcPr>
          <w:p>
            <w:pPr>
              <w:jc w:val="center"/>
            </w:pPr>
            <w:r>
              <w:rPr>
                <w:b/>
                <w:color w:val="123E56"/>
                <w:sz w:val="25"/>
              </w:rPr>
              <w:t>ANTARAGANGE RURAL HOSPITAL AND RESEARCH INSTITUTE</w:t>
            </w:r>
          </w:p>
        </w:tc>
      </w:tr>
    </w:tbl>
    <w:p/>
    <w:p>
      <w:pPr>
        <w:pStyle w:val="Heading1"/>
      </w:pPr>
      <w:r>
        <w:t>PARTNERSHIP CASE</w:t>
      </w:r>
    </w:p>
    <w:p>
      <w:pPr>
        <w:spacing w:after="140"/>
        <w:pBdr>
          <w:bottom w:val="single" w:sz="12" w:space="1" w:color="2F7F7A"/>
        </w:pBdr>
      </w:pPr>
    </w:p>
    <w:tbl>
      <w:tblPr>
        <w:tblW w:type="auto" w:w="0"/>
        <w:jc w:val="center"/>
        <w:tblLook w:firstColumn="1" w:firstRow="1" w:lastColumn="0" w:lastRow="0" w:noHBand="0" w:noVBand="1" w:val="04A0"/>
      </w:tblPr>
      <w:tblGrid>
        <w:gridCol w:w="10540"/>
      </w:tblGrid>
      <w:tr>
        <w:tc>
          <w:tcPr>
            <w:tcW w:type="dxa" w:w="10540"/>
            <w:shd w:fill="EAF4F3"/>
            <w:tcMar>
              <w:top w:w="115" w:type="dxa"/>
              <w:start w:w="160" w:type="dxa"/>
              <w:bottom w:w="115" w:type="dxa"/>
              <w:end w:w="160" w:type="dxa"/>
            </w:tcMar>
          </w:tcPr>
          <w:p>
            <w:pPr>
              <w:jc w:val="center"/>
            </w:pPr>
            <w:r>
              <w:rPr>
                <w:b/>
                <w:i/>
                <w:color w:val="123E56"/>
                <w:sz w:val="24"/>
              </w:rPr>
              <w:t>“A safe operating theatre turns a rural hospital from a place of referral into a place of treatment.”</w:t>
            </w:r>
          </w:p>
        </w:tc>
      </w:tr>
    </w:tbl>
    <w:p/>
    <w:p>
      <w:pPr>
        <w:pStyle w:val="Heading2"/>
      </w:pPr>
      <w:r>
        <w:t>Why This Project Is Suitable for CSR</w:t>
      </w:r>
    </w:p>
    <w:p>
      <w:pPr>
        <w:ind w:left="227" w:hanging="113"/>
      </w:pPr>
      <w:r>
        <w:rPr>
          <w:b/>
          <w:color w:val="2F7F7A"/>
        </w:rPr>
        <w:t xml:space="preserve">• </w:t>
      </w:r>
      <w:r>
        <w:t>Creates durable, high-value clinical infrastructure with multi-year use.</w:t>
      </w:r>
    </w:p>
    <w:p>
      <w:pPr>
        <w:ind w:left="227" w:hanging="113"/>
      </w:pPr>
      <w:r>
        <w:rPr>
          <w:b/>
          <w:color w:val="2F7F7A"/>
        </w:rPr>
        <w:t xml:space="preserve">• </w:t>
      </w:r>
      <w:r>
        <w:t>Supports emergency, orthopaedic and general surgical services under one platform.</w:t>
      </w:r>
    </w:p>
    <w:p>
      <w:pPr>
        <w:ind w:left="227" w:hanging="113"/>
      </w:pPr>
      <w:r>
        <w:rPr>
          <w:b/>
          <w:color w:val="2F7F7A"/>
        </w:rPr>
        <w:t xml:space="preserve">• </w:t>
      </w:r>
      <w:r>
        <w:t>Can reduce treatment delay and travel burden for rural families.</w:t>
      </w:r>
    </w:p>
    <w:p>
      <w:pPr>
        <w:ind w:left="227" w:hanging="113"/>
      </w:pPr>
      <w:r>
        <w:rPr>
          <w:b/>
          <w:color w:val="2F7F7A"/>
        </w:rPr>
        <w:t xml:space="preserve">• </w:t>
      </w:r>
      <w:r>
        <w:t>Allows modular sponsorship of clearly identifiable equipment groups.</w:t>
      </w:r>
    </w:p>
    <w:p>
      <w:pPr>
        <w:ind w:left="227" w:hanging="113"/>
      </w:pPr>
      <w:r>
        <w:rPr>
          <w:b/>
          <w:color w:val="2F7F7A"/>
        </w:rPr>
        <w:t xml:space="preserve">• </w:t>
      </w:r>
      <w:r>
        <w:t>Provides measurable utilisation and asset-level reporting.</w:t>
      </w:r>
    </w:p>
    <w:p>
      <w:pPr>
        <w:ind w:left="227" w:hanging="113"/>
      </w:pPr>
      <w:r>
        <w:rPr>
          <w:b/>
          <w:color w:val="2F7F7A"/>
        </w:rPr>
        <w:t xml:space="preserve">• </w:t>
      </w:r>
      <w:r>
        <w:t>Strengthens the full care pathway from diagnosis to surgery, critical care and recovery.</w:t>
      </w:r>
    </w:p>
    <w:p>
      <w:pPr>
        <w:pStyle w:val="Heading2"/>
      </w:pPr>
      <w:r>
        <w:t>Recognition &amp; Accountability</w:t>
      </w:r>
    </w:p>
    <w:p>
      <w:r>
        <w:t>Subject to institutional policy and CSR guidelines, recognition may include donor acknowledgement, equipment / department plaques, inauguration communication, utilisation certificates, asset registers and periodic impact reporting. All patient stories or identifiable clinical information should be used only with appropriate consent and privacy safeguards.</w:t>
      </w:r>
    </w:p>
    <w:p>
      <w:pPr>
        <w:pStyle w:val="Heading2"/>
      </w:pPr>
      <w:r>
        <w:t>Source Note</w:t>
      </w:r>
    </w:p>
    <w:p>
      <w:r>
        <w:t>The ₹86,80,000 core budget and line-item allocations in this proposal are drawn from the hospital's current Operation Theatre equipment estimate. Clinical explanations and procurement framing are presented to make the CSR proposal easier to evaluate; they do not alter the source-defined capital budget.</w:t>
      </w:r>
    </w:p>
    <w:p>
      <w:pPr>
        <w:spacing w:before="360"/>
        <w:jc w:val="center"/>
      </w:pPr>
      <w:r>
        <w:rPr>
          <w:b/>
          <w:color w:val="123E56"/>
          <w:sz w:val="28"/>
        </w:rPr>
        <w:t>ANTARAGANGE RURAL HOSPITAL AND RESEARCH INSTITUTE</w:t>
      </w:r>
    </w:p>
    <w:p>
      <w:pPr>
        <w:jc w:val="center"/>
      </w:pPr>
      <w:r>
        <w:rPr>
          <w:i/>
          <w:color w:val="2F7F7A"/>
          <w:sz w:val="21"/>
        </w:rPr>
        <w:t>Building Accessible Healthcare for Rural Karnataka</w:t>
      </w:r>
    </w:p>
    <w:sectPr w:rsidR="00FC693F" w:rsidRPr="0006063C" w:rsidSect="00034616">
      <w:footerReference w:type="default" r:id="rId9"/>
      <w:pgSz w:w="12240" w:h="15840"/>
      <w:pgMar w:top="765" w:right="850" w:bottom="765"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A"/>
        <w:sz w:val="16"/>
      </w:rPr>
      <w:t>CSR Infrastructure &amp; Medical Equipment Proposal  •  Rural Kolar, Karnataka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E56"/>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7F7A"/>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23E5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E5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