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LOGO SPACE — TOP LEFT</w:t>
      </w:r>
    </w:p>
    <w:p>
      <w:pPr>
        <w:jc w:val="center"/>
      </w:pPr>
      <w:r>
        <w:rPr>
          <w:b/>
          <w:color w:val="13415B"/>
          <w:sz w:val="28"/>
        </w:rPr>
        <w:t>ANTARAGANGE RURAL HOSPITAL AND RESEARCH INSTITUTE</w:t>
      </w:r>
    </w:p>
    <w:p>
      <w:pPr>
        <w:pStyle w:val="Title"/>
      </w:pPr>
      <w:r>
        <w:t>HOSPITAL IT SYSTEMS</w:t>
      </w:r>
    </w:p>
    <w:p>
      <w:r>
        <w:t>Standalone Corporate Social Responsibility Proposal | Kolar District, Karnataka</w:t>
      </w:r>
    </w:p>
    <w:p>
      <w:pPr>
        <w:pStyle w:val="Heading1"/>
      </w:pPr>
      <w:r>
        <w:t>Original budget allocation: ₹12,00,000</w:t>
      </w:r>
    </w:p>
    <w:p>
      <w:r>
        <w:t>This proposal funds digital infrastructure for a proposed rural hospital: hospital management, electronic medical records, registration, billing, laboratory and pharmacy workflows, secure connectivity and data backup. The ₹12 lakh is the exact Hospital IT Systems allocation in the uploaded hospital cost estimate, under the larger ICU / Emergency / OPD equipment and infrastructure category.</w:t>
      </w:r>
    </w:p>
    <w:p>
      <w:pPr>
        <w:jc w:val="center"/>
      </w:pPr>
      <w:r>
        <w:drawing>
          <wp:inline xmlns:a="http://schemas.openxmlformats.org/drawingml/2006/main" xmlns:pic="http://schemas.openxmlformats.org/drawingml/2006/picture">
            <wp:extent cx="3931920" cy="3931920"/>
            <wp:docPr id="1" name="Picture 1"/>
            <wp:cNvGraphicFramePr>
              <a:graphicFrameLocks noChangeAspect="1"/>
            </wp:cNvGraphicFramePr>
            <a:graphic>
              <a:graphicData uri="http://schemas.openxmlformats.org/drawingml/2006/picture">
                <pic:pic>
                  <pic:nvPicPr>
                    <pic:cNvPr id="0" name="IMG_0095.jpeg"/>
                    <pic:cNvPicPr/>
                  </pic:nvPicPr>
                  <pic:blipFill>
                    <a:blip r:embed="rId9"/>
                    <a:stretch>
                      <a:fillRect/>
                    </a:stretch>
                  </pic:blipFill>
                  <pic:spPr>
                    <a:xfrm>
                      <a:off x="0" y="0"/>
                      <a:ext cx="3931920" cy="3931920"/>
                    </a:xfrm>
                    <a:prstGeom prst="rect"/>
                  </pic:spPr>
                </pic:pic>
              </a:graphicData>
            </a:graphic>
          </wp:inline>
        </w:drawing>
      </w:r>
    </w:p>
    <w:p>
      <w:pPr>
        <w:pStyle w:val="Caption"/>
        <w:jc w:val="center"/>
      </w:pPr>
      <w:r>
        <w:t>Illustrative telemedicine and digital-care workflow from the supplied hospital reference images.</w:t>
      </w:r>
    </w:p>
    <w:p>
      <w:r>
        <w:br w:type="page"/>
      </w:r>
    </w:p>
    <w:p>
      <w:pPr>
        <w:pStyle w:val="Heading1"/>
      </w:pPr>
      <w:r>
        <w:t>Why Hospital IT Matters</w:t>
      </w:r>
    </w:p>
    <w:p>
      <w:pPr>
        <w:pStyle w:val="Heading2"/>
      </w:pPr>
      <w:r>
        <w:t>Continuity of care</w:t>
      </w:r>
    </w:p>
    <w:p>
      <w:r>
        <w:t>An electronic record can help authorised clinicians retrieve previous encounters, tests, medicines and treatment notes.</w:t>
      </w:r>
    </w:p>
    <w:p>
      <w:pPr>
        <w:pStyle w:val="Heading2"/>
      </w:pPr>
      <w:r>
        <w:t>Operational coordination</w:t>
      </w:r>
    </w:p>
    <w:p>
      <w:r>
        <w:t>Registration, pharmacy, laboratory and billing modules reduce fragmented paper processes when correctly implemented.</w:t>
      </w:r>
    </w:p>
    <w:p>
      <w:pPr>
        <w:pStyle w:val="Heading2"/>
      </w:pPr>
      <w:r>
        <w:t>Safety and accountability</w:t>
      </w:r>
    </w:p>
    <w:p>
      <w:r>
        <w:t>Role-based access, audit trails, routine backups and cybersecurity policies help protect patient information.</w:t>
      </w:r>
    </w:p>
    <w:p>
      <w:pPr>
        <w:pStyle w:val="Heading2"/>
      </w:pPr>
      <w:r>
        <w:t>Rural access</w:t>
      </w:r>
    </w:p>
    <w:p>
      <w:r>
        <w:t>Digital records and suitable connectivity can support future referral coordination and teleconsultation workflows; telemedicine is not separately costed in the source.</w:t>
      </w:r>
    </w:p>
    <w:p>
      <w:pPr>
        <w:pStyle w:val="Heading1"/>
      </w:pPr>
      <w:r>
        <w:t>Source-Based Equipment and Software Scope</w:t>
      </w:r>
    </w:p>
    <w:tbl>
      <w:tblPr>
        <w:tblStyle w:val="TableGrid"/>
        <w:tblW w:type="auto" w:w="0"/>
        <w:tblLook w:firstColumn="1" w:firstRow="1" w:lastColumn="0" w:lastRow="0" w:noHBand="0" w:noVBand="1" w:val="04A0"/>
      </w:tblPr>
      <w:tblGrid>
        <w:gridCol w:w="2880"/>
        <w:gridCol w:w="2880"/>
        <w:gridCol w:w="2880"/>
      </w:tblGrid>
      <w:tr>
        <w:tc>
          <w:tcPr>
            <w:tcW w:type="dxa" w:w="2880"/>
            <w:shd w:fill="174861"/>
          </w:tcPr>
          <w:p>
            <w:r>
              <w:rPr>
                <w:b/>
                <w:color w:val="FFFFFF"/>
              </w:rPr>
              <w:t>Source-listed component</w:t>
            </w:r>
          </w:p>
        </w:tc>
        <w:tc>
          <w:tcPr>
            <w:tcW w:type="dxa" w:w="2880"/>
            <w:shd w:fill="174861"/>
          </w:tcPr>
          <w:p>
            <w:r>
              <w:rPr>
                <w:b/>
                <w:color w:val="FFFFFF"/>
              </w:rPr>
              <w:t>Quantity stated</w:t>
            </w:r>
          </w:p>
        </w:tc>
        <w:tc>
          <w:tcPr>
            <w:tcW w:type="dxa" w:w="2880"/>
            <w:shd w:fill="174861"/>
          </w:tcPr>
          <w:p>
            <w:r>
              <w:rPr>
                <w:b/>
                <w:color w:val="FFFFFF"/>
              </w:rPr>
              <w:t>Cost stated</w:t>
            </w:r>
          </w:p>
        </w:tc>
      </w:tr>
      <w:tr>
        <w:tc>
          <w:tcPr>
            <w:tcW w:type="dxa" w:w="2880"/>
          </w:tcPr>
          <w:p>
            <w:r>
              <w:t>Central Server</w:t>
            </w:r>
          </w:p>
        </w:tc>
        <w:tc>
          <w:tcPr>
            <w:tcW w:type="dxa" w:w="2880"/>
          </w:tcPr>
          <w:p>
            <w:r>
              <w:t>1</w:t>
            </w:r>
          </w:p>
        </w:tc>
        <w:tc>
          <w:tcPr>
            <w:tcW w:type="dxa" w:w="2880"/>
          </w:tcPr>
          <w:p>
            <w:r>
              <w:t>Not individually specified</w:t>
            </w:r>
          </w:p>
        </w:tc>
      </w:tr>
      <w:tr>
        <w:tc>
          <w:tcPr>
            <w:tcW w:type="dxa" w:w="2880"/>
          </w:tcPr>
          <w:p>
            <w:r>
              <w:t>Desktop Systems</w:t>
            </w:r>
          </w:p>
        </w:tc>
        <w:tc>
          <w:tcPr>
            <w:tcW w:type="dxa" w:w="2880"/>
          </w:tcPr>
          <w:p>
            <w:r>
              <w:t>10–15</w:t>
            </w:r>
          </w:p>
        </w:tc>
        <w:tc>
          <w:tcPr>
            <w:tcW w:type="dxa" w:w="2880"/>
          </w:tcPr>
          <w:p>
            <w:r>
              <w:t>Not individually specified</w:t>
            </w:r>
          </w:p>
        </w:tc>
      </w:tr>
      <w:tr>
        <w:tc>
          <w:tcPr>
            <w:tcW w:type="dxa" w:w="2880"/>
          </w:tcPr>
          <w:p>
            <w:r>
              <w:t>Networking Rack</w:t>
            </w:r>
          </w:p>
        </w:tc>
        <w:tc>
          <w:tcPr>
            <w:tcW w:type="dxa" w:w="2880"/>
          </w:tcPr>
          <w:p>
            <w:r>
              <w:t>Not specified</w:t>
            </w:r>
          </w:p>
        </w:tc>
        <w:tc>
          <w:tcPr>
            <w:tcW w:type="dxa" w:w="2880"/>
          </w:tcPr>
          <w:p>
            <w:r>
              <w:t>Not individually specified</w:t>
            </w:r>
          </w:p>
        </w:tc>
      </w:tr>
      <w:tr>
        <w:tc>
          <w:tcPr>
            <w:tcW w:type="dxa" w:w="2880"/>
          </w:tcPr>
          <w:p>
            <w:r>
              <w:t>Structured LAN</w:t>
            </w:r>
          </w:p>
        </w:tc>
        <w:tc>
          <w:tcPr>
            <w:tcW w:type="dxa" w:w="2880"/>
          </w:tcPr>
          <w:p>
            <w:r>
              <w:t>Not specified</w:t>
            </w:r>
          </w:p>
        </w:tc>
        <w:tc>
          <w:tcPr>
            <w:tcW w:type="dxa" w:w="2880"/>
          </w:tcPr>
          <w:p>
            <w:r>
              <w:t>Not individually specified</w:t>
            </w:r>
          </w:p>
        </w:tc>
      </w:tr>
      <w:tr>
        <w:tc>
          <w:tcPr>
            <w:tcW w:type="dxa" w:w="2880"/>
          </w:tcPr>
          <w:p>
            <w:r>
              <w:t>UPS Backup</w:t>
            </w:r>
          </w:p>
        </w:tc>
        <w:tc>
          <w:tcPr>
            <w:tcW w:type="dxa" w:w="2880"/>
          </w:tcPr>
          <w:p>
            <w:r>
              <w:t>Not specified</w:t>
            </w:r>
          </w:p>
        </w:tc>
        <w:tc>
          <w:tcPr>
            <w:tcW w:type="dxa" w:w="2880"/>
          </w:tcPr>
          <w:p>
            <w:r>
              <w:t>Not individually specified</w:t>
            </w:r>
          </w:p>
        </w:tc>
      </w:tr>
      <w:tr>
        <w:tc>
          <w:tcPr>
            <w:tcW w:type="dxa" w:w="2880"/>
          </w:tcPr>
          <w:p>
            <w:r>
              <w:t>Cloud-Enabled HMS</w:t>
            </w:r>
          </w:p>
        </w:tc>
        <w:tc>
          <w:tcPr>
            <w:tcW w:type="dxa" w:w="2880"/>
          </w:tcPr>
          <w:p>
            <w:r>
              <w:t>Not specified</w:t>
            </w:r>
          </w:p>
        </w:tc>
        <w:tc>
          <w:tcPr>
            <w:tcW w:type="dxa" w:w="2880"/>
          </w:tcPr>
          <w:p>
            <w:r>
              <w:t>Not individually specified</w:t>
            </w:r>
          </w:p>
        </w:tc>
      </w:tr>
      <w:tr>
        <w:tc>
          <w:tcPr>
            <w:tcW w:type="dxa" w:w="2880"/>
          </w:tcPr>
          <w:p>
            <w:r>
              <w:t>Pharmacy &amp; Lab Modules</w:t>
            </w:r>
          </w:p>
        </w:tc>
        <w:tc>
          <w:tcPr>
            <w:tcW w:type="dxa" w:w="2880"/>
          </w:tcPr>
          <w:p>
            <w:r>
              <w:t>Not specified</w:t>
            </w:r>
          </w:p>
        </w:tc>
        <w:tc>
          <w:tcPr>
            <w:tcW w:type="dxa" w:w="2880"/>
          </w:tcPr>
          <w:p>
            <w:r>
              <w:t>Not individually specified</w:t>
            </w:r>
          </w:p>
        </w:tc>
      </w:tr>
      <w:tr>
        <w:tc>
          <w:tcPr>
            <w:tcW w:type="dxa" w:w="2880"/>
          </w:tcPr>
          <w:p>
            <w:r>
              <w:t>Billing &amp; EMR System</w:t>
            </w:r>
          </w:p>
        </w:tc>
        <w:tc>
          <w:tcPr>
            <w:tcW w:type="dxa" w:w="2880"/>
          </w:tcPr>
          <w:p>
            <w:r>
              <w:t>Not specified</w:t>
            </w:r>
          </w:p>
        </w:tc>
        <w:tc>
          <w:tcPr>
            <w:tcW w:type="dxa" w:w="2880"/>
          </w:tcPr>
          <w:p>
            <w:r>
              <w:t>Not individually specified</w:t>
            </w:r>
          </w:p>
        </w:tc>
      </w:tr>
      <w:tr>
        <w:tc>
          <w:tcPr>
            <w:tcW w:type="dxa" w:w="2880"/>
          </w:tcPr>
          <w:p>
            <w:r>
              <w:t>CCTV Integration</w:t>
            </w:r>
          </w:p>
        </w:tc>
        <w:tc>
          <w:tcPr>
            <w:tcW w:type="dxa" w:w="2880"/>
          </w:tcPr>
          <w:p>
            <w:r>
              <w:t>Not specified</w:t>
            </w:r>
          </w:p>
        </w:tc>
        <w:tc>
          <w:tcPr>
            <w:tcW w:type="dxa" w:w="2880"/>
          </w:tcPr>
          <w:p>
            <w:r>
              <w:t>Not individually specified</w:t>
            </w:r>
          </w:p>
        </w:tc>
      </w:tr>
      <w:tr>
        <w:tc>
          <w:tcPr>
            <w:tcW w:type="dxa" w:w="2880"/>
          </w:tcPr>
          <w:p>
            <w:r>
              <w:t>Daily Backup System</w:t>
            </w:r>
          </w:p>
        </w:tc>
        <w:tc>
          <w:tcPr>
            <w:tcW w:type="dxa" w:w="2880"/>
          </w:tcPr>
          <w:p>
            <w:r>
              <w:t>Not specified</w:t>
            </w:r>
          </w:p>
        </w:tc>
        <w:tc>
          <w:tcPr>
            <w:tcW w:type="dxa" w:w="2880"/>
          </w:tcPr>
          <w:p>
            <w:r>
              <w:t>Not individually specified</w:t>
            </w:r>
          </w:p>
        </w:tc>
      </w:tr>
    </w:tbl>
    <w:p>
      <w:r>
        <w:t>The source provides a single department total, not ten individual component costs. No artificial item prices or unsupported quantities have been added.</w:t>
      </w:r>
    </w:p>
    <w:p>
      <w:r>
        <w:br w:type="page"/>
      </w:r>
    </w:p>
    <w:p>
      <w:pPr>
        <w:pStyle w:val="Heading1"/>
      </w:pPr>
      <w:r>
        <w:t>Illustrative Digital Infrastructure</w:t>
      </w:r>
    </w:p>
    <w:p>
      <w:pPr>
        <w:jc w:val="center"/>
      </w:pPr>
      <w:r>
        <w:drawing>
          <wp:inline xmlns:a="http://schemas.openxmlformats.org/drawingml/2006/main" xmlns:pic="http://schemas.openxmlformats.org/drawingml/2006/picture">
            <wp:extent cx="5943600" cy="2743200"/>
            <wp:docPr id="2" name="Picture 2"/>
            <wp:cNvGraphicFramePr>
              <a:graphicFrameLocks noChangeAspect="1"/>
            </wp:cNvGraphicFramePr>
            <a:graphic>
              <a:graphicData uri="http://schemas.openxmlformats.org/drawingml/2006/picture">
                <pic:pic>
                  <pic:nvPicPr>
                    <pic:cNvPr id="0" name="Antaragange_IT_Systems_Architecture_Illustration.png"/>
                    <pic:cNvPicPr/>
                  </pic:nvPicPr>
                  <pic:blipFill>
                    <a:blip r:embed="rId10"/>
                    <a:stretch>
                      <a:fillRect/>
                    </a:stretch>
                  </pic:blipFill>
                  <pic:spPr>
                    <a:xfrm>
                      <a:off x="0" y="0"/>
                      <a:ext cx="5943600" cy="2743200"/>
                    </a:xfrm>
                    <a:prstGeom prst="rect"/>
                  </pic:spPr>
                </pic:pic>
              </a:graphicData>
            </a:graphic>
          </wp:inline>
        </w:drawing>
      </w:r>
    </w:p>
    <w:p>
      <w:pPr>
        <w:pStyle w:val="Caption"/>
        <w:jc w:val="center"/>
      </w:pPr>
      <w:r>
        <w:t>Conceptual architecture diagram illustrating relationships between the source-listed IT components. Not a supplier product photograph.</w:t>
      </w:r>
    </w:p>
    <w:p>
      <w:pPr>
        <w:pStyle w:val="Heading1"/>
      </w:pPr>
      <w:r>
        <w:t>Procurement and Technical Considerations</w:t>
      </w:r>
    </w:p>
    <w:p>
      <w:pPr>
        <w:pStyle w:val="Heading2"/>
      </w:pPr>
      <w:r>
        <w:t>Hospital Management System</w:t>
      </w:r>
    </w:p>
    <w:p>
      <w:r>
        <w:t>Confirm clinical modules, user permissions, billing workflows, reporting, vendor support, licensing and data export rights.</w:t>
      </w:r>
    </w:p>
    <w:p>
      <w:pPr>
        <w:pStyle w:val="Heading2"/>
      </w:pPr>
      <w:r>
        <w:t>Network and devices</w:t>
      </w:r>
    </w:p>
    <w:p>
      <w:r>
        <w:t>Survey desktop placement, cable runs, switch capacity, rack space, Wi-Fi needs, power quality and UPS sizing.</w:t>
      </w:r>
    </w:p>
    <w:p>
      <w:pPr>
        <w:pStyle w:val="Heading2"/>
      </w:pPr>
      <w:r>
        <w:t>Information security</w:t>
      </w:r>
    </w:p>
    <w:p>
      <w:r>
        <w:t>Require encrypted data transfer, role-based permissions, audit logging, reliable backup recovery testing and incident procedures.</w:t>
      </w:r>
    </w:p>
    <w:p>
      <w:pPr>
        <w:pStyle w:val="Heading2"/>
      </w:pPr>
      <w:r>
        <w:t>Integration</w:t>
      </w:r>
    </w:p>
    <w:p>
      <w:r>
        <w:t>Clarify how lab, pharmacy, billing and EMR modules exchange data, and whether existing equipment can interface with the system.</w:t>
      </w:r>
    </w:p>
    <w:p>
      <w:r>
        <w:br w:type="page"/>
      </w:r>
    </w:p>
    <w:p>
      <w:pPr>
        <w:pStyle w:val="Heading1"/>
      </w:pPr>
      <w:r>
        <w:t>Implementation and CSR Accountability</w:t>
      </w:r>
    </w:p>
    <w:p>
      <w:pPr>
        <w:pStyle w:val="Heading2"/>
      </w:pPr>
      <w:r>
        <w:t>1. Workflow mapping</w:t>
      </w:r>
    </w:p>
    <w:p>
      <w:r>
        <w:t>Identify outpatient, inpatient, emergency, pharmacy, laboratory and finance workflows and staffing.</w:t>
      </w:r>
    </w:p>
    <w:p>
      <w:pPr>
        <w:pStyle w:val="Heading2"/>
      </w:pPr>
      <w:r>
        <w:t>2. Technical site assessment</w:t>
      </w:r>
    </w:p>
    <w:p>
      <w:r>
        <w:t>Confirm power, network routes, server space, connectivity, device locations and backup arrangements.</w:t>
      </w:r>
    </w:p>
    <w:p>
      <w:pPr>
        <w:pStyle w:val="Heading2"/>
      </w:pPr>
      <w:r>
        <w:t>3. Competitive quotations</w:t>
      </w:r>
    </w:p>
    <w:p>
      <w:r>
        <w:t>Obtain itemised hardware, software, implementation, training, warranty, AMC and licence quotations.</w:t>
      </w:r>
    </w:p>
    <w:p>
      <w:pPr>
        <w:pStyle w:val="Heading2"/>
      </w:pPr>
      <w:r>
        <w:t>4. Deployment and testing</w:t>
      </w:r>
    </w:p>
    <w:p>
      <w:r>
        <w:t>Install equipment, configure modules, test permissions and backups, and pilot registration-to-billing workflows.</w:t>
      </w:r>
    </w:p>
    <w:p>
      <w:pPr>
        <w:pStyle w:val="Heading2"/>
      </w:pPr>
      <w:r>
        <w:t>5. Training and support</w:t>
      </w:r>
    </w:p>
    <w:p>
      <w:r>
        <w:t>Train clinical and administrative users, establish helpdesk escalation and monitor system uptime.</w:t>
      </w:r>
    </w:p>
    <w:p>
      <w:pPr>
        <w:pStyle w:val="Heading1"/>
      </w:pPr>
      <w:r>
        <w:t>Measurable Results</w:t>
      </w:r>
    </w:p>
    <w:p>
      <w:r>
        <w:t>Suggested indicators: staff trained, departments live on the HMS, proportion of registrations entered electronically, successful daily backups, system uptime, billing reconciliation, and turnaround time for laboratory result availability. Baselines and targets will be established once the hospital is operational.</w:t>
      </w:r>
    </w:p>
    <w:p>
      <w:pPr>
        <w:pStyle w:val="Heading1"/>
      </w:pPr>
      <w:r>
        <w:t>Financial Reconciliation</w:t>
      </w:r>
    </w:p>
    <w:p>
      <w:r>
        <w:t>Hospital IT Systems: ₹12,00,000 (source total). This is an existing subcomponent of the ₹1,88,35,000 ICU / Emergency / OPD infrastructure group and is already included in the overall hospital estimate of ₹5,50,15,000. It must not be added again when sponsors fund individual departments.</w:t>
      </w:r>
    </w:p>
    <w:p>
      <w:r>
        <w:t>Vendor quotations must determine the distribution of ₹12 lakh across hardware, software, networking, commissioning, training and service. If the final scope cannot be supplied within ₹12 lakh, any gap requires explicit revision and sponsor approval.</w:t>
      </w:r>
    </w:p>
    <w:p>
      <w:pPr>
        <w:pStyle w:val="Heading1"/>
      </w:pPr>
      <w:r>
        <w:t>CSR Sponsorship Opportunity</w:t>
      </w:r>
    </w:p>
    <w:p>
      <w:r>
        <w:t>A corporate sponsor can support the complete ₹12 lakh digital infrastructure allocation, subject to final quotations, procurement controls, commissioning documentation and periodic utilisation reports. Recognition can be provided through institutional acknowledgement consistent with patient confidentiality.</w:t>
      </w:r>
    </w:p>
    <w:p>
      <w:r>
        <w:t>Source: uploaded hospital equipment estimate, page 5–6, “8. HOSPITAL IT SYSTEMS – ₹12,00,000” and its ten included components. All technical recommendations and illustrations are supplementary planning guidance, not source-priced products.</w:t>
      </w:r>
    </w:p>
    <w:sectPr w:rsidR="00FC693F" w:rsidRPr="0006063C" w:rsidSect="00034616">
      <w:footerReference w:type="default" r:id="rId11"/>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Antaragange Rural Hospital and Research Institute | Hospital IT Systems CSR Proposal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3415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3415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3415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