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HOSPITAL LOGO SPACE — TOP LEFT</w:t>
      </w:r>
    </w:p>
    <w:p>
      <w:pPr>
        <w:jc w:val="center"/>
      </w:pPr>
      <w:r>
        <w:rPr>
          <w:b/>
          <w:sz w:val="28"/>
        </w:rPr>
        <w:t>ANTARAGANGE RURAL HOSPITAL AND RESEARCH INSTITUTE</w:t>
      </w:r>
    </w:p>
    <w:p>
      <w:pPr>
        <w:pStyle w:val="Title"/>
      </w:pPr>
      <w:r>
        <w:t>EMERGENCY &amp; CASUALTY UNIT</w:t>
      </w:r>
    </w:p>
    <w:p>
      <w:r>
        <w:t>Standalone Corporate Social Responsibility Funding Proposal | Kolar District, Karnataka</w:t>
      </w:r>
    </w:p>
    <w:p>
      <w:pPr>
        <w:pStyle w:val="Heading1"/>
      </w:pPr>
      <w:r>
        <w:t>₹9,00,000</w:t>
      </w:r>
    </w:p>
    <w:p>
      <w:r>
        <w:t>Exact department allocation from the uploaded hospital cost estimate. This is a subcomponent of the ₹1,88,35,000 ICU / Emergency / OPD &amp; Infrastructure budget, not an additional cost.</w:t>
      </w:r>
    </w:p>
    <w:p>
      <w:pPr>
        <w:jc w:val="center"/>
      </w:pPr>
      <w:r>
        <w:drawing>
          <wp:inline xmlns:a="http://schemas.openxmlformats.org/drawingml/2006/main" xmlns:pic="http://schemas.openxmlformats.org/drawingml/2006/picture">
            <wp:extent cx="4023360" cy="3797487"/>
            <wp:docPr id="1" name="Picture 1"/>
            <wp:cNvGraphicFramePr>
              <a:graphicFrameLocks noChangeAspect="1"/>
            </wp:cNvGraphicFramePr>
            <a:graphic>
              <a:graphicData uri="http://schemas.openxmlformats.org/drawingml/2006/picture">
                <pic:pic>
                  <pic:nvPicPr>
                    <pic:cNvPr id="0" name="IMG_0072.jpeg"/>
                    <pic:cNvPicPr/>
                  </pic:nvPicPr>
                  <pic:blipFill>
                    <a:blip r:embed="rId9"/>
                    <a:stretch>
                      <a:fillRect/>
                    </a:stretch>
                  </pic:blipFill>
                  <pic:spPr>
                    <a:xfrm>
                      <a:off x="0" y="0"/>
                      <a:ext cx="4023360" cy="3797487"/>
                    </a:xfrm>
                    <a:prstGeom prst="rect"/>
                  </pic:spPr>
                </pic:pic>
              </a:graphicData>
            </a:graphic>
          </wp:inline>
        </w:drawing>
      </w:r>
    </w:p>
    <w:p>
      <w:pPr>
        <w:pStyle w:val="Caption"/>
        <w:jc w:val="center"/>
      </w:pPr>
      <w:r>
        <w:t>Illustrative emergency treatment room; visual reference, not a final floor plan.</w:t>
      </w:r>
    </w:p>
    <w:p>
      <w:r>
        <w:br w:type="page"/>
      </w:r>
    </w:p>
    <w:p>
      <w:pPr>
        <w:pStyle w:val="Heading1"/>
      </w:pPr>
      <w:r>
        <w:t>Purpose and Clinical Need</w:t>
      </w:r>
    </w:p>
    <w:p>
      <w:r>
        <w:t>The proposed six-bed emergency and casualty service will support initial assessment, stabilisation and transfer or admission decisions for patients presenting with injury, acute illness and other urgent conditions. It is designed to connect with the hospital’s ICU, operation theatre, laboratory, imaging and inpatient services.</w:t>
      </w:r>
    </w:p>
    <w:p>
      <w:pPr>
        <w:pStyle w:val="Heading2"/>
      </w:pPr>
      <w:r>
        <w:t>Six emergency beds</w:t>
      </w:r>
    </w:p>
    <w:p>
      <w:r>
        <w:t>Dedicated examination and observation spaces for immediate clinical assessment and short-term monitoring.</w:t>
      </w:r>
    </w:p>
    <w:p>
      <w:pPr>
        <w:pStyle w:val="Heading2"/>
      </w:pPr>
      <w:r>
        <w:t>Portable monitors</w:t>
      </w:r>
    </w:p>
    <w:p>
      <w:r>
        <w:t>Bedside observation of vital signs in patients who need closer monitoring.</w:t>
      </w:r>
    </w:p>
    <w:p>
      <w:pPr>
        <w:pStyle w:val="Heading2"/>
      </w:pPr>
      <w:r>
        <w:t>Crash cart</w:t>
      </w:r>
    </w:p>
    <w:p>
      <w:r>
        <w:t>Organised access to emergency supplies and resuscitation equipment, with routine readiness checks.</w:t>
      </w:r>
    </w:p>
    <w:p>
      <w:pPr>
        <w:pStyle w:val="Heading2"/>
      </w:pPr>
      <w:r>
        <w:t>Wheelchairs and trolleys</w:t>
      </w:r>
    </w:p>
    <w:p>
      <w:r>
        <w:t>Safer transfer of patients between triage, treatment, imaging and wards.</w:t>
      </w:r>
    </w:p>
    <w:p>
      <w:pPr>
        <w:pStyle w:val="Heading2"/>
      </w:pPr>
      <w:r>
        <w:t>IV stands, curtains and chairs</w:t>
      </w:r>
    </w:p>
    <w:p>
      <w:r>
        <w:t>Supports treatment workflow, patient privacy and accompanying carers.</w:t>
      </w:r>
    </w:p>
    <w:p>
      <w:r>
        <w:br w:type="page"/>
      </w:r>
    </w:p>
    <w:p>
      <w:pPr>
        <w:pStyle w:val="Heading1"/>
      </w:pPr>
      <w:r>
        <w:t>Item-wise Budget — Source Figures</w:t>
      </w:r>
    </w:p>
    <w:tbl>
      <w:tblPr>
        <w:tblStyle w:val="TableGrid"/>
        <w:tblW w:type="auto" w:w="0"/>
        <w:tblLook w:firstColumn="1" w:firstRow="1" w:lastColumn="0" w:lastRow="0" w:noHBand="0" w:noVBand="1" w:val="04A0"/>
      </w:tblPr>
      <w:tblGrid>
        <w:gridCol w:w="2880"/>
        <w:gridCol w:w="2880"/>
        <w:gridCol w:w="2880"/>
      </w:tblGrid>
      <w:tr>
        <w:tc>
          <w:tcPr>
            <w:tcW w:type="dxa" w:w="2880"/>
            <w:shd w:fill="104057"/>
          </w:tcPr>
          <w:p>
            <w:r>
              <w:rPr>
                <w:b/>
                <w:color w:val="FFFFFF"/>
              </w:rPr>
              <w:t>Equipment / Infrastructure</w:t>
            </w:r>
          </w:p>
        </w:tc>
        <w:tc>
          <w:tcPr>
            <w:tcW w:type="dxa" w:w="2880"/>
            <w:shd w:fill="104057"/>
          </w:tcPr>
          <w:p>
            <w:r>
              <w:rPr>
                <w:b/>
                <w:color w:val="FFFFFF"/>
              </w:rPr>
              <w:t>Source quantity</w:t>
            </w:r>
          </w:p>
        </w:tc>
        <w:tc>
          <w:tcPr>
            <w:tcW w:type="dxa" w:w="2880"/>
            <w:shd w:fill="104057"/>
          </w:tcPr>
          <w:p>
            <w:r>
              <w:rPr>
                <w:b/>
                <w:color w:val="FFFFFF"/>
              </w:rPr>
              <w:t>Estimated cost</w:t>
            </w:r>
          </w:p>
        </w:tc>
      </w:tr>
      <w:tr>
        <w:tc>
          <w:tcPr>
            <w:tcW w:type="dxa" w:w="2880"/>
          </w:tcPr>
          <w:p>
            <w:r>
              <w:t>Emergency Room Beds</w:t>
            </w:r>
          </w:p>
        </w:tc>
        <w:tc>
          <w:tcPr>
            <w:tcW w:type="dxa" w:w="2880"/>
          </w:tcPr>
          <w:p>
            <w:r>
              <w:t>6 Nos</w:t>
            </w:r>
          </w:p>
        </w:tc>
        <w:tc>
          <w:tcPr>
            <w:tcW w:type="dxa" w:w="2880"/>
          </w:tcPr>
          <w:p>
            <w:r>
              <w:t>₹3,50,000</w:t>
            </w:r>
          </w:p>
        </w:tc>
      </w:tr>
      <w:tr>
        <w:tc>
          <w:tcPr>
            <w:tcW w:type="dxa" w:w="2880"/>
          </w:tcPr>
          <w:p>
            <w:r>
              <w:t>Portable Monitors</w:t>
            </w:r>
          </w:p>
        </w:tc>
        <w:tc>
          <w:tcPr>
            <w:tcW w:type="dxa" w:w="2880"/>
          </w:tcPr>
          <w:p>
            <w:r>
              <w:t>Not specified</w:t>
            </w:r>
          </w:p>
        </w:tc>
        <w:tc>
          <w:tcPr>
            <w:tcW w:type="dxa" w:w="2880"/>
          </w:tcPr>
          <w:p>
            <w:r>
              <w:t>₹2,00,000</w:t>
            </w:r>
          </w:p>
        </w:tc>
      </w:tr>
      <w:tr>
        <w:tc>
          <w:tcPr>
            <w:tcW w:type="dxa" w:w="2880"/>
          </w:tcPr>
          <w:p>
            <w:r>
              <w:t>Crash Cart</w:t>
            </w:r>
          </w:p>
        </w:tc>
        <w:tc>
          <w:tcPr>
            <w:tcW w:type="dxa" w:w="2880"/>
          </w:tcPr>
          <w:p>
            <w:r>
              <w:t>Not specified</w:t>
            </w:r>
          </w:p>
        </w:tc>
        <w:tc>
          <w:tcPr>
            <w:tcW w:type="dxa" w:w="2880"/>
          </w:tcPr>
          <w:p>
            <w:r>
              <w:t>₹85,000</w:t>
            </w:r>
          </w:p>
        </w:tc>
      </w:tr>
      <w:tr>
        <w:tc>
          <w:tcPr>
            <w:tcW w:type="dxa" w:w="2880"/>
          </w:tcPr>
          <w:p>
            <w:r>
              <w:t>Emergency Wheelchairs &amp; Trolleys</w:t>
            </w:r>
          </w:p>
        </w:tc>
        <w:tc>
          <w:tcPr>
            <w:tcW w:type="dxa" w:w="2880"/>
          </w:tcPr>
          <w:p>
            <w:r>
              <w:t>Not specified</w:t>
            </w:r>
          </w:p>
        </w:tc>
        <w:tc>
          <w:tcPr>
            <w:tcW w:type="dxa" w:w="2880"/>
          </w:tcPr>
          <w:p>
            <w:r>
              <w:t>₹1,00,000</w:t>
            </w:r>
          </w:p>
        </w:tc>
      </w:tr>
      <w:tr>
        <w:tc>
          <w:tcPr>
            <w:tcW w:type="dxa" w:w="2880"/>
          </w:tcPr>
          <w:p>
            <w:r>
              <w:t>IV Stands, Curtains &amp; Patient Chairs</w:t>
            </w:r>
          </w:p>
        </w:tc>
        <w:tc>
          <w:tcPr>
            <w:tcW w:type="dxa" w:w="2880"/>
          </w:tcPr>
          <w:p>
            <w:r>
              <w:t>Not specified</w:t>
            </w:r>
          </w:p>
        </w:tc>
        <w:tc>
          <w:tcPr>
            <w:tcW w:type="dxa" w:w="2880"/>
          </w:tcPr>
          <w:p>
            <w:r>
              <w:t>₹1,65,000</w:t>
            </w:r>
          </w:p>
        </w:tc>
      </w:tr>
      <w:tr>
        <w:tc>
          <w:tcPr>
            <w:tcW w:type="dxa" w:w="2880"/>
          </w:tcPr>
          <w:p>
            <w:r>
              <w:t>TOTAL EMERGENCY &amp; CASUALTY</w:t>
            </w:r>
          </w:p>
        </w:tc>
        <w:tc>
          <w:tcPr>
            <w:tcW w:type="dxa" w:w="2880"/>
          </w:tcPr>
          <w:p>
            <w:r>
              <w:t>—</w:t>
            </w:r>
          </w:p>
        </w:tc>
        <w:tc>
          <w:tcPr>
            <w:tcW w:type="dxa" w:w="2880"/>
          </w:tcPr>
          <w:p>
            <w:r>
              <w:t>₹9,00,000</w:t>
            </w:r>
          </w:p>
        </w:tc>
      </w:tr>
    </w:tbl>
    <w:p>
      <w:r>
        <w:t>Arithmetic verification: ₹3,50,000 + ₹2,00,000 + ₹85,000 + ₹1,00,000 + ₹1,65,000 = ₹9,00,000. Quantities are shown only where stated in the uploaded estimate. No additional costs or assumed quantities have been inserted.</w:t>
      </w:r>
    </w:p>
    <w:p>
      <w:r>
        <w:t>Budget reconciliation: ₹9,00,000 is already within the parent ₹1,88,35,000 allocation and within the original overall ₹5,50,15,000 hospital estimate. Sponsor recognition for this unit should not result in a second addition to the project total.</w:t>
      </w:r>
    </w:p>
    <w:p>
      <w:r>
        <w:br w:type="page"/>
      </w:r>
    </w:p>
    <w:p>
      <w:pPr>
        <w:pStyle w:val="Heading1"/>
      </w:pPr>
      <w:r>
        <w:t>Equipment Image References</w:t>
      </w:r>
    </w:p>
    <w:p>
      <w:pPr>
        <w:jc w:val="center"/>
      </w:pPr>
      <w:r>
        <w:drawing>
          <wp:inline xmlns:a="http://schemas.openxmlformats.org/drawingml/2006/main" xmlns:pic="http://schemas.openxmlformats.org/drawingml/2006/picture">
            <wp:extent cx="3200400" cy="3200400"/>
            <wp:docPr id="2" name="Picture 2"/>
            <wp:cNvGraphicFramePr>
              <a:graphicFrameLocks noChangeAspect="1"/>
            </wp:cNvGraphicFramePr>
            <a:graphic>
              <a:graphicData uri="http://schemas.openxmlformats.org/drawingml/2006/picture">
                <pic:pic>
                  <pic:nvPicPr>
                    <pic:cNvPr id="0" name="IMG_0092.jpeg"/>
                    <pic:cNvPicPr/>
                  </pic:nvPicPr>
                  <pic:blipFill>
                    <a:blip r:embed="rId10"/>
                    <a:stretch>
                      <a:fillRect/>
                    </a:stretch>
                  </pic:blipFill>
                  <pic:spPr>
                    <a:xfrm>
                      <a:off x="0" y="0"/>
                      <a:ext cx="3200400" cy="3200400"/>
                    </a:xfrm>
                    <a:prstGeom prst="rect"/>
                  </pic:spPr>
                </pic:pic>
              </a:graphicData>
            </a:graphic>
          </wp:inline>
        </w:drawing>
      </w:r>
    </w:p>
    <w:p>
      <w:pPr>
        <w:pStyle w:val="Caption"/>
        <w:jc w:val="center"/>
      </w:pPr>
      <w:r>
        <w:t>Illustrative emergency crash cart; original allocation ₹85,000.</w:t>
      </w:r>
    </w:p>
    <w:p>
      <w:pPr>
        <w:jc w:val="center"/>
      </w:pPr>
      <w:r>
        <w:drawing>
          <wp:inline xmlns:a="http://schemas.openxmlformats.org/drawingml/2006/main" xmlns:pic="http://schemas.openxmlformats.org/drawingml/2006/picture">
            <wp:extent cx="3291840" cy="1846642"/>
            <wp:docPr id="3" name="Picture 3"/>
            <wp:cNvGraphicFramePr>
              <a:graphicFrameLocks noChangeAspect="1"/>
            </wp:cNvGraphicFramePr>
            <a:graphic>
              <a:graphicData uri="http://schemas.openxmlformats.org/drawingml/2006/picture">
                <pic:pic>
                  <pic:nvPicPr>
                    <pic:cNvPr id="0" name="IMG_0093.jpeg"/>
                    <pic:cNvPicPr/>
                  </pic:nvPicPr>
                  <pic:blipFill>
                    <a:blip r:embed="rId11"/>
                    <a:stretch>
                      <a:fillRect/>
                    </a:stretch>
                  </pic:blipFill>
                  <pic:spPr>
                    <a:xfrm>
                      <a:off x="0" y="0"/>
                      <a:ext cx="3291840" cy="1846642"/>
                    </a:xfrm>
                    <a:prstGeom prst="rect"/>
                  </pic:spPr>
                </pic:pic>
              </a:graphicData>
            </a:graphic>
          </wp:inline>
        </w:drawing>
      </w:r>
    </w:p>
    <w:p>
      <w:pPr>
        <w:pStyle w:val="Caption"/>
        <w:jc w:val="center"/>
      </w:pPr>
      <w:r>
        <w:t>Illustrative patient-transfer stretcher; wheelchairs and trolleys allocation ₹1,00,000.</w:t>
      </w:r>
    </w:p>
    <w:p>
      <w:r>
        <w:br w:type="page"/>
      </w:r>
    </w:p>
    <w:p>
      <w:pPr>
        <w:pStyle w:val="Heading1"/>
      </w:pPr>
      <w:r>
        <w:t>Equipment Image References — Continued</w:t>
      </w:r>
    </w:p>
    <w:p>
      <w:pPr>
        <w:jc w:val="center"/>
      </w:pPr>
      <w:r>
        <w:drawing>
          <wp:inline xmlns:a="http://schemas.openxmlformats.org/drawingml/2006/main" xmlns:pic="http://schemas.openxmlformats.org/drawingml/2006/picture">
            <wp:extent cx="4023360" cy="4023360"/>
            <wp:docPr id="4" name="Picture 4"/>
            <wp:cNvGraphicFramePr>
              <a:graphicFrameLocks noChangeAspect="1"/>
            </wp:cNvGraphicFramePr>
            <a:graphic>
              <a:graphicData uri="http://schemas.openxmlformats.org/drawingml/2006/picture">
                <pic:pic>
                  <pic:nvPicPr>
                    <pic:cNvPr id="0" name="IMG_0071.jpeg"/>
                    <pic:cNvPicPr/>
                  </pic:nvPicPr>
                  <pic:blipFill>
                    <a:blip r:embed="rId12"/>
                    <a:stretch>
                      <a:fillRect/>
                    </a:stretch>
                  </pic:blipFill>
                  <pic:spPr>
                    <a:xfrm>
                      <a:off x="0" y="0"/>
                      <a:ext cx="4023360" cy="4023360"/>
                    </a:xfrm>
                    <a:prstGeom prst="rect"/>
                  </pic:spPr>
                </pic:pic>
              </a:graphicData>
            </a:graphic>
          </wp:inline>
        </w:drawing>
      </w:r>
    </w:p>
    <w:p>
      <w:pPr>
        <w:pStyle w:val="Caption"/>
        <w:jc w:val="center"/>
      </w:pPr>
      <w:r>
        <w:t>Illustrative acute-care equipment group; final monitor and accessory models subject to purchase specifications.</w:t>
      </w:r>
    </w:p>
    <w:p>
      <w:pPr>
        <w:pStyle w:val="Heading1"/>
      </w:pPr>
      <w:r>
        <w:t>Implementation Plan</w:t>
      </w:r>
    </w:p>
    <w:p>
      <w:pPr>
        <w:pStyle w:val="Heading2"/>
      </w:pPr>
      <w:r>
        <w:t>1. Finalise specifications</w:t>
      </w:r>
    </w:p>
    <w:p>
      <w:r>
        <w:t>Confirm bed dimensions, monitor capabilities, crash-cart contents, trolley design and infection-control compatibility.</w:t>
      </w:r>
    </w:p>
    <w:p>
      <w:pPr>
        <w:pStyle w:val="Heading2"/>
      </w:pPr>
      <w:r>
        <w:t>2. Verify site readiness</w:t>
      </w:r>
    </w:p>
    <w:p>
      <w:r>
        <w:t>Confirm six-bed layout, electrical sockets, oxygen access, patient circulation and storage.</w:t>
      </w:r>
    </w:p>
    <w:p>
      <w:pPr>
        <w:pStyle w:val="Heading2"/>
      </w:pPr>
      <w:r>
        <w:t>3. Procure transparently</w:t>
      </w:r>
    </w:p>
    <w:p>
      <w:r>
        <w:t>Obtain itemised supplier quotations aligned with the five source allocations and document any exclusions.</w:t>
      </w:r>
    </w:p>
    <w:p>
      <w:pPr>
        <w:pStyle w:val="Heading2"/>
      </w:pPr>
      <w:r>
        <w:t>4. Commission and train</w:t>
      </w:r>
    </w:p>
    <w:p>
      <w:r>
        <w:t>Complete inspection, acceptance checks, equipment labelling and staff orientation.</w:t>
      </w:r>
    </w:p>
    <w:p>
      <w:pPr>
        <w:pStyle w:val="Heading2"/>
      </w:pPr>
      <w:r>
        <w:t>5. Track outcomes</w:t>
      </w:r>
    </w:p>
    <w:p>
      <w:r>
        <w:t>Record emergency attendances, equipment uptime, staff readiness checks and patient transfer patterns.</w:t>
      </w:r>
    </w:p>
    <w:p>
      <w:pPr>
        <w:pStyle w:val="Heading1"/>
      </w:pPr>
      <w:r>
        <w:t>CSR Partnership and Accountability</w:t>
      </w:r>
    </w:p>
    <w:p>
      <w:r>
        <w:t>A CSR partner may fund the complete ₹9,00,000 Emergency &amp; Casualty package or a named line item from the source estimate. Reporting can include procurement invoices, an asset register, installation photographs, commissioning confirmation and periodic service indicators. All funding remains ring-fenced within the original hospital estimate.</w:t>
      </w:r>
    </w:p>
    <w:p>
      <w:pPr>
        <w:pStyle w:val="Heading1"/>
      </w:pPr>
      <w:r>
        <w:t>Source Note</w:t>
      </w:r>
    </w:p>
    <w:p>
      <w:r>
        <w:t>Uploaded document “CSR Proposal — Anthargange Rural Hospital &amp; Research Center”, page 4, “2. Emergency &amp; Casualty — ₹9,00,000”, five item allocations. Hospital naming in this standalone proposal follows the requested “Antaragange Rural Hospital and Research Institute”. Photographs are illustrative references from materials supplied for the project, not verified vendor catalogue images.</w:t>
      </w:r>
    </w:p>
    <w:sectPr w:rsidR="00FC693F" w:rsidRPr="0006063C" w:rsidSect="00034616">
      <w:footerReference w:type="default" r:id="rId13"/>
      <w:pgSz w:w="12240" w:h="15840"/>
      <w:pgMar w:top="1008"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Emergency &amp; Casualty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04057"/>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0405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0405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