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SPACE RESERVED FOR HOSPITAL LOGO — TOP LEFT</w:t>
      </w:r>
    </w:p>
    <w:p>
      <w:pPr>
        <w:jc w:val="center"/>
      </w:pPr>
      <w:r>
        <w:rPr>
          <w:b/>
          <w:color w:val="144155"/>
          <w:sz w:val="30"/>
        </w:rPr>
        <w:t>ANTARAGANGE RURAL HOSPITAL AND RESEARCH INSTITUTE</w:t>
      </w:r>
    </w:p>
    <w:p>
      <w:pPr>
        <w:pStyle w:val="Title"/>
      </w:pPr>
      <w:r>
        <w:t>3-BEDDED DIALYSIS UNIT</w:t>
      </w:r>
    </w:p>
    <w:p>
      <w:r>
        <w:t>Standalone CSR Sponsorship Proposal | Kolar District, Karnataka</w:t>
      </w:r>
    </w:p>
    <w:p>
      <w:pPr>
        <w:jc w:val="center"/>
      </w:pPr>
      <w:r>
        <w:drawing>
          <wp:inline xmlns:a="http://schemas.openxmlformats.org/drawingml/2006/main" xmlns:pic="http://schemas.openxmlformats.org/drawingml/2006/picture">
            <wp:extent cx="4389120" cy="3069732"/>
            <wp:docPr id="1" name="Picture 1"/>
            <wp:cNvGraphicFramePr>
              <a:graphicFrameLocks noChangeAspect="1"/>
            </wp:cNvGraphicFramePr>
            <a:graphic>
              <a:graphicData uri="http://schemas.openxmlformats.org/drawingml/2006/picture">
                <pic:pic>
                  <pic:nvPicPr>
                    <pic:cNvPr id="0" name="IMG_0090.jpeg"/>
                    <pic:cNvPicPr/>
                  </pic:nvPicPr>
                  <pic:blipFill>
                    <a:blip r:embed="rId9"/>
                    <a:stretch>
                      <a:fillRect/>
                    </a:stretch>
                  </pic:blipFill>
                  <pic:spPr>
                    <a:xfrm>
                      <a:off x="0" y="0"/>
                      <a:ext cx="4389120" cy="3069732"/>
                    </a:xfrm>
                    <a:prstGeom prst="rect"/>
                  </pic:spPr>
                </pic:pic>
              </a:graphicData>
            </a:graphic>
          </wp:inline>
        </w:drawing>
      </w:r>
    </w:p>
    <w:p>
      <w:pPr>
        <w:pStyle w:val="Caption"/>
        <w:jc w:val="center"/>
      </w:pPr>
      <w:r>
        <w:t>Illustrative haemodialysis treatment chair and dialysis machine; image for reference only.</w:t>
      </w:r>
    </w:p>
    <w:p>
      <w:pPr>
        <w:pStyle w:val="Heading1"/>
      </w:pPr>
      <w:r>
        <w:t>Total Estimated Capital Cost: ₹12,50,000</w:t>
      </w:r>
    </w:p>
    <w:p>
      <w:r>
        <w:t>The hospital proposes a three-station haemodialysis unit for patients requiring kidney replacement therapy. This is an independently sponsorable component already included in the original ₹5,50,15,000 hospital project estimate; it is not an additional cost.</w:t>
      </w:r>
    </w:p>
    <w:p>
      <w:r>
        <w:br w:type="page"/>
      </w:r>
    </w:p>
    <w:p>
      <w:pPr>
        <w:pStyle w:val="Heading1"/>
      </w:pPr>
      <w:r>
        <w:t>Why a Rural Dialysis Unit Matters</w:t>
      </w:r>
    </w:p>
    <w:p>
      <w:r>
        <w:t>Patients with kidney failure may need regular, time-consuming haemodialysis sessions. A locally accessible unit can help reduce repeated travel for eligible patients, subject to clinical oversight, infection prevention, reliable water treatment and continuity of consumable supplies.</w:t>
      </w:r>
    </w:p>
    <w:p>
      <w:pPr>
        <w:pStyle w:val="Heading2"/>
      </w:pPr>
      <w:r>
        <w:t>Patients and clinical pathway</w:t>
      </w:r>
    </w:p>
    <w:p>
      <w:r>
        <w:t>The service will require nephrologist oversight or an appropriate specialist-led protocol, trained dialysis nurses/technicians, referral arrangements, vascular access assessment and escalation pathways for emergencies.</w:t>
      </w:r>
    </w:p>
    <w:p>
      <w:pPr>
        <w:pStyle w:val="Heading2"/>
      </w:pPr>
      <w:r>
        <w:t>Service readiness</w:t>
      </w:r>
    </w:p>
    <w:p>
      <w:r>
        <w:t>The planned three treatment stations require dependable electricity, treated water, infection-control zoning, biomedical waste management, dialysis disposables and routine microbiological/chemical water checks.</w:t>
      </w:r>
    </w:p>
    <w:p>
      <w:pPr>
        <w:pStyle w:val="Heading1"/>
      </w:pPr>
      <w:r>
        <w:t>Exact Item-wise Budget from Uploaded Hospital Estimate</w:t>
      </w:r>
    </w:p>
    <w:tbl>
      <w:tblPr>
        <w:tblStyle w:val="TableGrid"/>
        <w:tblW w:type="auto" w:w="0"/>
        <w:tblLook w:firstColumn="1" w:firstRow="1" w:lastColumn="0" w:lastRow="0" w:noHBand="0" w:noVBand="1" w:val="04A0"/>
      </w:tblPr>
      <w:tblGrid>
        <w:gridCol w:w="2880"/>
        <w:gridCol w:w="2880"/>
        <w:gridCol w:w="2880"/>
      </w:tblGrid>
      <w:tr>
        <w:tc>
          <w:tcPr>
            <w:tcW w:type="dxa" w:w="2880"/>
            <w:shd w:fill="144155"/>
          </w:tcPr>
          <w:p>
            <w:r>
              <w:rPr>
                <w:b/>
                <w:color w:val="FFFFFF"/>
              </w:rPr>
              <w:t>Equipment / Infrastructure</w:t>
            </w:r>
          </w:p>
        </w:tc>
        <w:tc>
          <w:tcPr>
            <w:tcW w:type="dxa" w:w="2880"/>
            <w:shd w:fill="144155"/>
          </w:tcPr>
          <w:p>
            <w:r>
              <w:rPr>
                <w:b/>
                <w:color w:val="FFFFFF"/>
              </w:rPr>
              <w:t>Source quantity</w:t>
            </w:r>
          </w:p>
        </w:tc>
        <w:tc>
          <w:tcPr>
            <w:tcW w:type="dxa" w:w="2880"/>
            <w:shd w:fill="144155"/>
          </w:tcPr>
          <w:p>
            <w:r>
              <w:rPr>
                <w:b/>
                <w:color w:val="FFFFFF"/>
              </w:rPr>
              <w:t>Original estimate</w:t>
            </w:r>
          </w:p>
        </w:tc>
      </w:tr>
      <w:tr>
        <w:tc>
          <w:tcPr>
            <w:tcW w:type="dxa" w:w="2880"/>
          </w:tcPr>
          <w:p>
            <w:r>
              <w:t>Haemodialysis Machines</w:t>
            </w:r>
          </w:p>
        </w:tc>
        <w:tc>
          <w:tcPr>
            <w:tcW w:type="dxa" w:w="2880"/>
          </w:tcPr>
          <w:p>
            <w:r>
              <w:t>3 Nos</w:t>
            </w:r>
          </w:p>
        </w:tc>
        <w:tc>
          <w:tcPr>
            <w:tcW w:type="dxa" w:w="2880"/>
          </w:tcPr>
          <w:p>
            <w:r>
              <w:t>₹600,000</w:t>
            </w:r>
          </w:p>
        </w:tc>
      </w:tr>
      <w:tr>
        <w:tc>
          <w:tcPr>
            <w:tcW w:type="dxa" w:w="2880"/>
          </w:tcPr>
          <w:p>
            <w:r>
              <w:t>Dialysis Beds / Recliner Chairs</w:t>
            </w:r>
          </w:p>
        </w:tc>
        <w:tc>
          <w:tcPr>
            <w:tcW w:type="dxa" w:w="2880"/>
          </w:tcPr>
          <w:p>
            <w:r>
              <w:t>3 Nos</w:t>
            </w:r>
          </w:p>
        </w:tc>
        <w:tc>
          <w:tcPr>
            <w:tcW w:type="dxa" w:w="2880"/>
          </w:tcPr>
          <w:p>
            <w:r>
              <w:t>₹150,000</w:t>
            </w:r>
          </w:p>
        </w:tc>
      </w:tr>
      <w:tr>
        <w:tc>
          <w:tcPr>
            <w:tcW w:type="dxa" w:w="2880"/>
          </w:tcPr>
          <w:p>
            <w:r>
              <w:t>RO Water Treatment System</w:t>
            </w:r>
          </w:p>
        </w:tc>
        <w:tc>
          <w:tcPr>
            <w:tcW w:type="dxa" w:w="2880"/>
          </w:tcPr>
          <w:p>
            <w:r>
              <w:t>1 system (quantity not stated)</w:t>
            </w:r>
          </w:p>
        </w:tc>
        <w:tc>
          <w:tcPr>
            <w:tcW w:type="dxa" w:w="2880"/>
          </w:tcPr>
          <w:p>
            <w:r>
              <w:t>₹200,000</w:t>
            </w:r>
          </w:p>
        </w:tc>
      </w:tr>
      <w:tr>
        <w:tc>
          <w:tcPr>
            <w:tcW w:type="dxa" w:w="2880"/>
          </w:tcPr>
          <w:p>
            <w:r>
              <w:t>Multipara Patient Monitor</w:t>
            </w:r>
          </w:p>
        </w:tc>
        <w:tc>
          <w:tcPr>
            <w:tcW w:type="dxa" w:w="2880"/>
          </w:tcPr>
          <w:p>
            <w:r>
              <w:t>Quantity not stated</w:t>
            </w:r>
          </w:p>
        </w:tc>
        <w:tc>
          <w:tcPr>
            <w:tcW w:type="dxa" w:w="2880"/>
          </w:tcPr>
          <w:p>
            <w:r>
              <w:t>₹75,000</w:t>
            </w:r>
          </w:p>
        </w:tc>
      </w:tr>
      <w:tr>
        <w:tc>
          <w:tcPr>
            <w:tcW w:type="dxa" w:w="2880"/>
          </w:tcPr>
          <w:p>
            <w:r>
              <w:t>Suction Apparatus &amp; Emergency Support Equipment</w:t>
            </w:r>
          </w:p>
        </w:tc>
        <w:tc>
          <w:tcPr>
            <w:tcW w:type="dxa" w:w="2880"/>
          </w:tcPr>
          <w:p>
            <w:r>
              <w:t>Package</w:t>
            </w:r>
          </w:p>
        </w:tc>
        <w:tc>
          <w:tcPr>
            <w:tcW w:type="dxa" w:w="2880"/>
          </w:tcPr>
          <w:p>
            <w:r>
              <w:t>₹50,000</w:t>
            </w:r>
          </w:p>
        </w:tc>
      </w:tr>
      <w:tr>
        <w:tc>
          <w:tcPr>
            <w:tcW w:type="dxa" w:w="2880"/>
          </w:tcPr>
          <w:p>
            <w:r>
              <w:t>Dialysis Unit Furniture &amp; Storage Cabinets</w:t>
            </w:r>
          </w:p>
        </w:tc>
        <w:tc>
          <w:tcPr>
            <w:tcW w:type="dxa" w:w="2880"/>
          </w:tcPr>
          <w:p>
            <w:r>
              <w:t>Package</w:t>
            </w:r>
          </w:p>
        </w:tc>
        <w:tc>
          <w:tcPr>
            <w:tcW w:type="dxa" w:w="2880"/>
          </w:tcPr>
          <w:p>
            <w:r>
              <w:t>₹50,000</w:t>
            </w:r>
          </w:p>
        </w:tc>
      </w:tr>
      <w:tr>
        <w:tc>
          <w:tcPr>
            <w:tcW w:type="dxa" w:w="2880"/>
          </w:tcPr>
          <w:p>
            <w:r>
              <w:t>Air Conditioning &amp; Electrical Works</w:t>
            </w:r>
          </w:p>
        </w:tc>
        <w:tc>
          <w:tcPr>
            <w:tcW w:type="dxa" w:w="2880"/>
          </w:tcPr>
          <w:p>
            <w:r>
              <w:t>Package</w:t>
            </w:r>
          </w:p>
        </w:tc>
        <w:tc>
          <w:tcPr>
            <w:tcW w:type="dxa" w:w="2880"/>
          </w:tcPr>
          <w:p>
            <w:r>
              <w:t>₹75,000</w:t>
            </w:r>
          </w:p>
        </w:tc>
      </w:tr>
      <w:tr>
        <w:tc>
          <w:tcPr>
            <w:tcW w:type="dxa" w:w="2880"/>
          </w:tcPr>
          <w:p>
            <w:r>
              <w:t>UPS / Power Backup System</w:t>
            </w:r>
          </w:p>
        </w:tc>
        <w:tc>
          <w:tcPr>
            <w:tcW w:type="dxa" w:w="2880"/>
          </w:tcPr>
          <w:p>
            <w:r>
              <w:t>Package</w:t>
            </w:r>
          </w:p>
        </w:tc>
        <w:tc>
          <w:tcPr>
            <w:tcW w:type="dxa" w:w="2880"/>
          </w:tcPr>
          <w:p>
            <w:r>
              <w:t>₹50,000</w:t>
            </w:r>
          </w:p>
        </w:tc>
      </w:tr>
      <w:tr>
        <w:tc>
          <w:tcPr>
            <w:tcW w:type="dxa" w:w="2880"/>
          </w:tcPr>
          <w:p>
            <w:r>
              <w:t>TOTAL PROJECT COST</w:t>
            </w:r>
          </w:p>
        </w:tc>
        <w:tc>
          <w:tcPr>
            <w:tcW w:type="dxa" w:w="2880"/>
          </w:tcPr>
          <w:p>
            <w:r/>
          </w:p>
        </w:tc>
        <w:tc>
          <w:tcPr>
            <w:tcW w:type="dxa" w:w="2880"/>
          </w:tcPr>
          <w:p>
            <w:r>
              <w:t>₹12,50,000</w:t>
            </w:r>
          </w:p>
        </w:tc>
      </w:tr>
    </w:tbl>
    <w:p>
      <w:r>
        <w:t>Source: uploaded 12-page hospital equipment estimate, “3-BEDDED DIALYSIS UNIT COST ESTIMATE” (page 10). All eight allocations are reproduced unchanged. Quantities are only specified where the source provides them.</w:t>
      </w:r>
    </w:p>
    <w:p>
      <w:r>
        <w:br w:type="page"/>
      </w:r>
    </w:p>
    <w:p>
      <w:pPr>
        <w:pStyle w:val="Heading1"/>
      </w:pPr>
      <w:r>
        <w:t>Equipment and Facility Scope</w:t>
      </w:r>
    </w:p>
    <w:p>
      <w:pPr>
        <w:pStyle w:val="Heading2"/>
      </w:pPr>
      <w:r>
        <w:t>Three haemodialysis machines — ₹6,00,000</w:t>
      </w:r>
    </w:p>
    <w:p>
      <w:r>
        <w:t>Primary treatment devices for extracorporeal blood purification, with safety monitoring and alarms. Procurement must verify required features, service support and suitability for the hospital’s intended clinical protocols.</w:t>
      </w:r>
    </w:p>
    <w:p>
      <w:pPr>
        <w:pStyle w:val="Heading2"/>
      </w:pPr>
      <w:r>
        <w:t>Three dialysis beds/recliners — ₹1,50,000</w:t>
      </w:r>
    </w:p>
    <w:p>
      <w:r>
        <w:t>Patient positioning and comfort during prolonged sessions, with access for clinical observation and emergency intervention.</w:t>
      </w:r>
    </w:p>
    <w:p>
      <w:pPr>
        <w:pStyle w:val="Heading2"/>
      </w:pPr>
      <w:r>
        <w:t>RO water treatment — ₹2,00,000</w:t>
      </w:r>
    </w:p>
    <w:p>
      <w:r>
        <w:t>Water purification infrastructure for dialysis use. Verify pretreatment, distribution loop, disinfection, testing requirements and compliance with applicable water-quality standards.</w:t>
      </w:r>
    </w:p>
    <w:p>
      <w:pPr>
        <w:pStyle w:val="Heading2"/>
      </w:pPr>
      <w:r>
        <w:t>Patient monitor — ₹75,000</w:t>
      </w:r>
    </w:p>
    <w:p>
      <w:r>
        <w:t>Vital-sign monitoring during treatment, supplemented by staff observations and clinical escalation procedures.</w:t>
      </w:r>
    </w:p>
    <w:p>
      <w:pPr>
        <w:pStyle w:val="Heading2"/>
      </w:pPr>
      <w:r>
        <w:t>Emergency support — ₹50,000</w:t>
      </w:r>
    </w:p>
    <w:p>
      <w:r>
        <w:t>Suction and other emergency-support equipment, with emergency-response processes established before patient care begins.</w:t>
      </w:r>
    </w:p>
    <w:p>
      <w:pPr>
        <w:pStyle w:val="Heading2"/>
      </w:pPr>
      <w:r>
        <w:t>Furniture and storage — ₹50,000</w:t>
      </w:r>
    </w:p>
    <w:p>
      <w:r>
        <w:t>Storage for supplies and documentation, designed to support clean workflows and stock management.</w:t>
      </w:r>
    </w:p>
    <w:p>
      <w:pPr>
        <w:pStyle w:val="Heading2"/>
      </w:pPr>
      <w:r>
        <w:t>AC and electrical works — ₹75,000</w:t>
      </w:r>
    </w:p>
    <w:p>
      <w:r>
        <w:t>Appropriate treatment-room conditions and electrical connections, subject to engineering assessment.</w:t>
      </w:r>
    </w:p>
    <w:p>
      <w:pPr>
        <w:pStyle w:val="Heading2"/>
      </w:pPr>
      <w:r>
        <w:t>UPS / power backup — ₹50,000</w:t>
      </w:r>
    </w:p>
    <w:p>
      <w:r>
        <w:t>Power continuity provisions; runtime and compatibility must be confirmed with equipment vendors.</w:t>
      </w:r>
    </w:p>
    <w:p>
      <w:r>
        <w:br w:type="page"/>
      </w:r>
    </w:p>
    <w:p>
      <w:pPr>
        <w:pStyle w:val="Heading1"/>
      </w:pPr>
      <w:r>
        <w:t>Equipment Photo References</w:t>
      </w:r>
    </w:p>
    <w:p>
      <w:pPr>
        <w:jc w:val="center"/>
      </w:pPr>
      <w:r>
        <w:drawing>
          <wp:inline xmlns:a="http://schemas.openxmlformats.org/drawingml/2006/main" xmlns:pic="http://schemas.openxmlformats.org/drawingml/2006/picture">
            <wp:extent cx="3063240" cy="1668594"/>
            <wp:docPr id="2" name="Picture 2"/>
            <wp:cNvGraphicFramePr>
              <a:graphicFrameLocks noChangeAspect="1"/>
            </wp:cNvGraphicFramePr>
            <a:graphic>
              <a:graphicData uri="http://schemas.openxmlformats.org/drawingml/2006/picture">
                <pic:pic>
                  <pic:nvPicPr>
                    <pic:cNvPr id="0" name="IMG_0089.jpeg"/>
                    <pic:cNvPicPr/>
                  </pic:nvPicPr>
                  <pic:blipFill>
                    <a:blip r:embed="rId10"/>
                    <a:stretch>
                      <a:fillRect/>
                    </a:stretch>
                  </pic:blipFill>
                  <pic:spPr>
                    <a:xfrm>
                      <a:off x="0" y="0"/>
                      <a:ext cx="3063240" cy="1668594"/>
                    </a:xfrm>
                    <a:prstGeom prst="rect"/>
                  </pic:spPr>
                </pic:pic>
              </a:graphicData>
            </a:graphic>
          </wp:inline>
        </w:drawing>
      </w:r>
    </w:p>
    <w:p>
      <w:pPr>
        <w:pStyle w:val="Caption"/>
        <w:jc w:val="center"/>
      </w:pPr>
      <w:r>
        <w:t>Illustrative haemodialysis machine — reference image, not a confirmed purchase model.</w:t>
      </w:r>
    </w:p>
    <w:p>
      <w:pPr>
        <w:jc w:val="center"/>
      </w:pPr>
      <w:r>
        <w:drawing>
          <wp:inline xmlns:a="http://schemas.openxmlformats.org/drawingml/2006/main" xmlns:pic="http://schemas.openxmlformats.org/drawingml/2006/picture">
            <wp:extent cx="3063240" cy="2142417"/>
            <wp:docPr id="3" name="Picture 3"/>
            <wp:cNvGraphicFramePr>
              <a:graphicFrameLocks noChangeAspect="1"/>
            </wp:cNvGraphicFramePr>
            <a:graphic>
              <a:graphicData uri="http://schemas.openxmlformats.org/drawingml/2006/picture">
                <pic:pic>
                  <pic:nvPicPr>
                    <pic:cNvPr id="0" name="IMG_0090.jpeg"/>
                    <pic:cNvPicPr/>
                  </pic:nvPicPr>
                  <pic:blipFill>
                    <a:blip r:embed="rId9"/>
                    <a:stretch>
                      <a:fillRect/>
                    </a:stretch>
                  </pic:blipFill>
                  <pic:spPr>
                    <a:xfrm>
                      <a:off x="0" y="0"/>
                      <a:ext cx="3063240" cy="2142417"/>
                    </a:xfrm>
                    <a:prstGeom prst="rect"/>
                  </pic:spPr>
                </pic:pic>
              </a:graphicData>
            </a:graphic>
          </wp:inline>
        </w:drawing>
      </w:r>
    </w:p>
    <w:p>
      <w:pPr>
        <w:pStyle w:val="Caption"/>
        <w:jc w:val="center"/>
      </w:pPr>
      <w:r>
        <w:t>Illustrative dialysis station with patient recliner — reference image.</w:t>
      </w:r>
    </w:p>
    <w:p>
      <w:r>
        <w:br w:type="page"/>
      </w:r>
    </w:p>
    <w:p>
      <w:pPr>
        <w:pStyle w:val="Heading1"/>
      </w:pPr>
      <w:r>
        <w:t>Implementation Plan</w:t>
      </w:r>
    </w:p>
    <w:tbl>
      <w:tblPr>
        <w:tblStyle w:val="TableGrid"/>
        <w:tblW w:type="auto" w:w="0"/>
        <w:tblLook w:firstColumn="1" w:firstRow="1" w:lastColumn="0" w:lastRow="0" w:noHBand="0" w:noVBand="1" w:val="04A0"/>
      </w:tblPr>
      <w:tblGrid>
        <w:gridCol w:w="4320"/>
        <w:gridCol w:w="4320"/>
      </w:tblGrid>
      <w:tr>
        <w:tc>
          <w:tcPr>
            <w:tcW w:type="dxa" w:w="4320"/>
            <w:shd w:fill="144155"/>
          </w:tcPr>
          <w:p>
            <w:r>
              <w:rPr>
                <w:b/>
                <w:color w:val="FFFFFF"/>
              </w:rPr>
              <w:t>Stage</w:t>
            </w:r>
          </w:p>
        </w:tc>
        <w:tc>
          <w:tcPr>
            <w:tcW w:type="dxa" w:w="4320"/>
            <w:shd w:fill="144155"/>
          </w:tcPr>
          <w:p>
            <w:r>
              <w:rPr>
                <w:b/>
                <w:color w:val="FFFFFF"/>
              </w:rPr>
              <w:t>Activities</w:t>
            </w:r>
          </w:p>
        </w:tc>
      </w:tr>
      <w:tr>
        <w:tc>
          <w:tcPr>
            <w:tcW w:type="dxa" w:w="4320"/>
          </w:tcPr>
          <w:p>
            <w:r>
              <w:t>1. Planning</w:t>
            </w:r>
          </w:p>
        </w:tc>
        <w:tc>
          <w:tcPr>
            <w:tcW w:type="dxa" w:w="4320"/>
          </w:tcPr>
          <w:p>
            <w:r>
              <w:t>Confirm clinical demand, staffing, referral protocols and technical specifications.</w:t>
            </w:r>
          </w:p>
        </w:tc>
      </w:tr>
      <w:tr>
        <w:tc>
          <w:tcPr>
            <w:tcW w:type="dxa" w:w="4320"/>
          </w:tcPr>
          <w:p>
            <w:r>
              <w:t>2. Engineering</w:t>
            </w:r>
          </w:p>
        </w:tc>
        <w:tc>
          <w:tcPr>
            <w:tcW w:type="dxa" w:w="4320"/>
          </w:tcPr>
          <w:p>
            <w:r>
              <w:t>Verify treated-water capacity, plumbing, drainage, electrical, backup and infection-control layout.</w:t>
            </w:r>
          </w:p>
        </w:tc>
      </w:tr>
      <w:tr>
        <w:tc>
          <w:tcPr>
            <w:tcW w:type="dxa" w:w="4320"/>
          </w:tcPr>
          <w:p>
            <w:r>
              <w:t>3. Procurement</w:t>
            </w:r>
          </w:p>
        </w:tc>
        <w:tc>
          <w:tcPr>
            <w:tcW w:type="dxa" w:w="4320"/>
          </w:tcPr>
          <w:p>
            <w:r>
              <w:t>Obtain itemised quotations and compare warranty, consumables, service and maintenance.</w:t>
            </w:r>
          </w:p>
        </w:tc>
      </w:tr>
      <w:tr>
        <w:tc>
          <w:tcPr>
            <w:tcW w:type="dxa" w:w="4320"/>
          </w:tcPr>
          <w:p>
            <w:r>
              <w:t>4. Installation</w:t>
            </w:r>
          </w:p>
        </w:tc>
        <w:tc>
          <w:tcPr>
            <w:tcW w:type="dxa" w:w="4320"/>
          </w:tcPr>
          <w:p>
            <w:r>
              <w:t>Complete water-system qualification, equipment commissioning and acceptance checks.</w:t>
            </w:r>
          </w:p>
        </w:tc>
      </w:tr>
      <w:tr>
        <w:tc>
          <w:tcPr>
            <w:tcW w:type="dxa" w:w="4320"/>
          </w:tcPr>
          <w:p>
            <w:r>
              <w:t>5. Training</w:t>
            </w:r>
          </w:p>
        </w:tc>
        <w:tc>
          <w:tcPr>
            <w:tcW w:type="dxa" w:w="4320"/>
          </w:tcPr>
          <w:p>
            <w:r>
              <w:t>Train nurses and technicians in dialysis workflows, infection control and emergency procedures.</w:t>
            </w:r>
          </w:p>
        </w:tc>
      </w:tr>
      <w:tr>
        <w:tc>
          <w:tcPr>
            <w:tcW w:type="dxa" w:w="4320"/>
          </w:tcPr>
          <w:p>
            <w:r>
              <w:t>6. Launch &amp; reporting</w:t>
            </w:r>
          </w:p>
        </w:tc>
        <w:tc>
          <w:tcPr>
            <w:tcW w:type="dxa" w:w="4320"/>
          </w:tcPr>
          <w:p>
            <w:r>
              <w:t>Begin service only after required approvals, testing and clinical governance are in place.</w:t>
            </w:r>
          </w:p>
        </w:tc>
      </w:tr>
    </w:tbl>
    <w:p>
      <w:pPr>
        <w:pStyle w:val="Heading1"/>
      </w:pPr>
      <w:r>
        <w:t>CSR Outcomes and Reporting</w:t>
      </w:r>
    </w:p>
    <w:p>
      <w:r>
        <w:t>Suggested indicators include patients served, completed dialysis sessions, average patient travel distance avoided where measurable, equipment uptime, treatment interruptions, staff training, water-quality compliance and patient feedback. Baseline volumes and numeric targets should be approved before launch, not assumed.</w:t>
      </w:r>
    </w:p>
    <w:p>
      <w:pPr>
        <w:pStyle w:val="Heading1"/>
      </w:pPr>
      <w:r>
        <w:t>CSR Sponsorship Opportunity</w:t>
      </w:r>
    </w:p>
    <w:p>
      <w:r>
        <w:t>A donor may sponsor the full ₹12,50,000 dialysis unit or an identified line item from the table. Recognition can include unit signage, commissioning acknowledgment and periodic utilisation reports, subject to institutional policies and patient confidentiality.</w:t>
      </w:r>
    </w:p>
    <w:p>
      <w:r>
        <w:t>Financial integrity: the ₹12,50,000 unit budget is already one line within the hospital’s original ₹5,50,15,000 capital estimate. No separate increase to the hospital total is proposed. Recurring costs such as dialysers, tubing, medicines, water testing, staffing and annual maintenance are not separately budgeted in the source and require an operating plan.</w:t>
      </w:r>
    </w:p>
    <w:sectPr w:rsidR="00FC693F" w:rsidRPr="0006063C" w:rsidSect="00034616">
      <w:footerReference w:type="default" r:id="rId11"/>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Antaragange Rural Hospital and Research Institute | Dialysis Unit CSR Proposal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44155"/>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44155"/>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44155"/>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image" Target="media/image2.jpe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